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w14:paraId="6B7B4B1B" w:rsidR="0086361D" w:rsidRPr="0086361D" w:rsidRDefault="0086361D" w:rsidP="00126946">
      <w:pPr>
        <w:keepNext/>
        <w:keepLines/>
        <w:spacing w:before="480" w:after="0" w:line="276" w:lineRule="auto"/>
        <w:ind w:left="3540"/>
        <w:jc w:val="both"/>
        <w:outlineLvl w:val="0"/>
        <w:rPr>
          <w:rFonts w:ascii="Times New Roman" w:eastAsiaTheme="majorEastAsia" w:hAnsi="Times New Roman" w:cs="Times New Roman"/>
          <w:bCs/>
          <w:color w:val="2E74B5" w:themeColor="accent1" w:themeShade="BF"/>
          <w:sz w:val="28"/>
          <w:szCs w:val="28"/>
        </w:rPr>
      </w:pPr>
      <w:r w:rsidRPr="0086361D">
        <w:rPr>
          <w:rFonts w:asciiTheme="majorHAnsi" w:hAnsiTheme="majorHAnsi" w:eastAsiaTheme="majorEastAsia" w:cstheme="majorBidi"/>
          <w:b/>
          <w:bCs/>
          <w:noProof/>
          <w:color w:val="2E74B5" w:themeColor="accent1" w:themeShade="BF"/>
          <w:sz w:val="28"/>
          <w:szCs w:val="28"/>
          <w:lang w:eastAsia="fr-FR"/>
        </w:rPr>
        <w:drawing>
          <wp:anchor wp14:anchorId="06084144" wp14:editId="7777777" distT="0" distB="0" distL="114300" distR="114300" simplePos="0" relativeHeight="251659264" behindDoc="0" locked="0" layoutInCell="1" allowOverlap="1">
            <wp:simplePos x="0" y="0"/>
            <wp:positionH relativeFrom="column">
              <wp:posOffset>5767070</wp:posOffset>
            </wp:positionH>
            <wp:positionV relativeFrom="paragraph">
              <wp:posOffset>-169545</wp:posOffset>
            </wp:positionV>
            <wp:extent cx="565785" cy="1044575"/>
            <wp:effectExtent l="0" t="0" r="5715" b="3175"/>
            <wp:wrapSquare wrapText="bothSides"/>
            <wp:docPr id="1" name="Picture 10" descr="Macintosh HD:Users:Ben:Desktop:PNUD:PNUD_TOOLBOX Com:4.LOGOS:Logo_PNUD:PNUD_Logo-Bleu-Taglin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Ben:Desktop:PNUD:PNUD_TOOLBOX Com:4.LOGOS:Logo_PNUD:PNUD_Logo-Bleu-Tagline_Noir.pn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0037"/>
                    <a:stretch/>
                  </pic:blipFill>
                  <pic:spPr bwMode="auto">
                    <a:xfrm>
                      <a:off x="0" y="0"/>
                      <a:ext cx="565785" cy="10445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86361D">
        <w:rPr>
          <w:rFonts w:ascii="Times New Roman" w:hAnsi="Times New Roman" w:cs="Times New Roman" w:eastAsiaTheme="majorEastAsia"/>
          <w:b/>
          <w:bCs/>
          <w:color w:val="2E74B5" w:themeColor="accent1" w:themeShade="BF"/>
          <w:sz w:val="28"/>
          <w:szCs w:val="28"/>
        </w:rPr>
        <w:t>CONCEPT NOTE</w:t>
      </w:r>
    </w:p>
    <w:p w14:paraId="6134D003" w:rsidR="0086361D" w:rsidRPr="0086361D" w:rsidRDefault="0086361D" w:rsidP="00126946">
      <w:pPr>
        <w:pBdr>
          <w:bottom w:val="single" w:sz="12" w:space="1" w:color="auto"/>
        </w:pBdr>
        <w:spacing w:after="0" w:line="240" w:lineRule="auto"/>
        <w:jc w:val="both"/>
        <w:rPr>
          <w:rFonts w:ascii="Times New Roman" w:hAnsi="Times New Roman" w:cs="Times New Roman"/>
          <w:b/>
        </w:rPr>
      </w:pPr>
    </w:p>
    <w:p w14:paraId="0BA35226" w:rsidR="0086361D" w:rsidRPr="0086361D" w:rsidRDefault="0086361D" w:rsidP="00126946">
      <w:pPr>
        <w:pBdr>
          <w:bottom w:val="single" w:sz="12" w:space="1" w:color="auto"/>
        </w:pBdr>
        <w:spacing w:after="0" w:line="240" w:lineRule="auto"/>
        <w:jc w:val="both"/>
        <w:rPr>
          <w:rFonts w:ascii="Times New Roman" w:hAnsi="Times New Roman" w:cs="Times New Roman"/>
        </w:rPr>
      </w:pPr>
    </w:p>
    <w:p w14:paraId="3AB9A6F4" w:rsidR="0086361D" w:rsidRDefault="0086361D" w:rsidP="00126946">
      <w:pPr>
        <w:pBdr>
          <w:bottom w:val="single" w:sz="12" w:space="1" w:color="auto"/>
        </w:pBdr>
        <w:spacing w:after="0" w:line="240" w:lineRule="auto"/>
        <w:jc w:val="both"/>
        <w:rPr>
          <w:rFonts w:ascii="Times New Roman" w:hAnsi="Times New Roman" w:cs="Times New Roman"/>
        </w:rPr>
      </w:pPr>
    </w:p>
    <w:p w14:paraId="436DCA02" w:rsidR="0086361D" w:rsidRDefault="0086361D" w:rsidP="00126946">
      <w:pPr>
        <w:pBdr>
          <w:bottom w:val="single" w:sz="12" w:space="1" w:color="auto"/>
        </w:pBdr>
        <w:spacing w:after="0" w:line="240" w:lineRule="auto"/>
        <w:jc w:val="both"/>
        <w:rPr>
          <w:rFonts w:ascii="Times New Roman" w:hAnsi="Times New Roman" w:cs="Times New Roman"/>
        </w:rPr>
      </w:pPr>
    </w:p>
    <w:p w14:paraId="597D5655" w:rsidR="0086361D" w:rsidRPr="00F1532A" w:rsidRDefault="00F12B72" w:rsidP="00126946">
      <w:pPr>
        <w:pBdr>
          <w:bottom w:val="single" w:sz="12" w:space="1" w:color="auto"/>
        </w:pBdr>
        <w:spacing w:after="0" w:line="240" w:lineRule="auto"/>
        <w:jc w:val="both"/>
        <w:rPr>
          <w:rFonts w:ascii="Times New Roman" w:hAnsi="Times New Roman" w:cs="Times New Roman"/>
          <w:b/>
        </w:rPr>
      </w:pPr>
      <w:r>
        <w:rPr>
          <w:rFonts w:ascii="Times New Roman" w:hAnsi="Times New Roman" w:cs="Times New Roman"/>
          <w:b/>
        </w:rPr>
        <w:t>Appui au processus</w:t>
      </w:r>
      <w:r w:rsidR="00F81C7D">
        <w:rPr>
          <w:rFonts w:ascii="Times New Roman" w:hAnsi="Times New Roman" w:cs="Times New Roman"/>
          <w:b/>
        </w:rPr>
        <w:t xml:space="preserve"> de Justice Transitionnelle au Burundi à travers</w:t>
      </w:r>
      <w:r>
        <w:rPr>
          <w:rFonts w:ascii="Times New Roman" w:hAnsi="Times New Roman" w:cs="Times New Roman"/>
          <w:b/>
        </w:rPr>
        <w:t xml:space="preserve"> </w:t>
      </w:r>
      <w:r w:rsidR="00F81C7D">
        <w:rPr>
          <w:rFonts w:ascii="Times New Roman" w:hAnsi="Times New Roman" w:cs="Times New Roman"/>
          <w:b/>
        </w:rPr>
        <w:t>la Commission</w:t>
      </w:r>
      <w:r>
        <w:rPr>
          <w:rFonts w:ascii="Times New Roman" w:hAnsi="Times New Roman" w:cs="Times New Roman"/>
          <w:b/>
        </w:rPr>
        <w:t xml:space="preserve"> Vérité et Réconciliation</w:t>
      </w:r>
      <w:r w:rsidR="00E108B8">
        <w:rPr>
          <w:rFonts w:ascii="Times New Roman" w:hAnsi="Times New Roman" w:cs="Times New Roman"/>
          <w:b/>
        </w:rPr>
        <w:t xml:space="preserve"> du Burundi</w:t>
      </w:r>
    </w:p>
    <w:p w14:paraId="4DA17D0F" w:rsidR="0086361D" w:rsidRPr="0086361D" w:rsidRDefault="0086361D" w:rsidP="00126946">
      <w:pPr>
        <w:spacing w:after="0" w:line="240" w:lineRule="auto"/>
        <w:jc w:val="both"/>
        <w:rPr>
          <w:rFonts w:ascii="Times New Roman" w:hAnsi="Times New Roman" w:cs="Times New Roman"/>
        </w:rPr>
      </w:pPr>
    </w:p>
    <w:p w14:paraId="36B4F0B5" w:rsidR="00F36869" w:rsidRPr="00F81C7D" w:rsidRDefault="0086361D" w:rsidP="00126946">
      <w:pPr>
        <w:pStyle w:val="ListParagraph"/>
        <w:numPr>
          <w:ilvl w:val="0"/>
          <w:numId w:val="12"/>
        </w:numPr>
        <w:jc w:val="both"/>
        <w:rPr>
          <w:b/>
        </w:rPr>
      </w:pPr>
      <w:r w:rsidRPr="00F81C7D">
        <w:rPr>
          <w:b/>
        </w:rPr>
        <w:t>CONTEXTE ET JUSTIFICATION</w:t>
      </w:r>
    </w:p>
    <w:p w14:paraId="2DBEA568" w:rsidR="00F81C7D" w:rsidRDefault="00F81C7D" w:rsidP="00126946">
      <w:pPr>
        <w:pStyle w:val="ListParagraph"/>
        <w:jc w:val="both"/>
      </w:pPr>
    </w:p>
    <w:p w14:paraId="1FC73E2F" w:rsidR="00A04C27" w:rsidRPr="00A04FD5" w:rsidRDefault="00E108B8" w:rsidP="00126946">
      <w:pPr>
        <w:pStyle w:val="ListParagraph"/>
        <w:numPr>
          <w:ilvl w:val="0"/>
          <w:numId w:val="11"/>
        </w:numPr>
        <w:jc w:val="both"/>
        <w:rPr>
          <w:b/>
        </w:rPr>
      </w:pPr>
      <w:r>
        <w:rPr>
          <w:b/>
        </w:rPr>
        <w:t>Accord d’Arusha,</w:t>
      </w:r>
      <w:r w:rsidR="00A04C27" w:rsidRPr="00A04FD5">
        <w:rPr>
          <w:b/>
        </w:rPr>
        <w:t xml:space="preserve"> justice transitionnelle</w:t>
      </w:r>
      <w:r>
        <w:rPr>
          <w:b/>
        </w:rPr>
        <w:t>, et Commission Vérité et Réconciliation</w:t>
      </w:r>
    </w:p>
    <w:p w14:paraId="7728ED61" w:rsidR="00293FD5" w:rsidRDefault="00DB70C7" w:rsidP="00126946">
      <w:pPr>
        <w:jc w:val="both"/>
      </w:pPr>
      <w:r>
        <w:t xml:space="preserve">Au lendemain de </w:t>
      </w:r>
      <w:r w:rsidR="0086361D">
        <w:t xml:space="preserve"> son accession à la souveraineté nationale le 1er juillet 1962, le Burundi </w:t>
      </w:r>
      <w:r>
        <w:t>est</w:t>
      </w:r>
      <w:r w:rsidR="0086361D">
        <w:t xml:space="preserve"> confronté à de graves conflits répétitifs et cycliques</w:t>
      </w:r>
      <w:r>
        <w:t xml:space="preserve"> et </w:t>
      </w:r>
      <w:r w:rsidR="0086361D">
        <w:t xml:space="preserve"> ont causé de graves violations des droits de nombreux citoyens (assassinats, viols, blessures graves, déplacement massif des personnes etc.). </w:t>
      </w:r>
      <w:r>
        <w:t>L</w:t>
      </w:r>
      <w:r w:rsidR="0086361D">
        <w:t>es multiples violations au fil des crises n’ont jamais donné lieu à des investigations approfondies pour retrouver et juger les auteurs ; les victimes n’ont jamais bénéficié de réparations. Ces conflits ont eu une incidence négative sur la cohésion sociale et laissé de graves stigmates sur le paysage social.</w:t>
      </w:r>
      <w:r w:rsidR="00F1532A">
        <w:rPr>
          <w:rStyle w:val="FootnoteReference"/>
        </w:rPr>
        <w:footnoteReference w:id="1"/>
      </w:r>
      <w:r w:rsidR="00293FD5" w:rsidRPr="00293FD5">
        <w:t xml:space="preserve"> </w:t>
      </w:r>
    </w:p>
    <w:p w14:paraId="56165B92" w:rsidR="0086361D" w:rsidRDefault="00DB70C7" w:rsidP="00126946">
      <w:pPr>
        <w:jc w:val="both"/>
      </w:pPr>
      <w:r>
        <w:t xml:space="preserve"> A</w:t>
      </w:r>
      <w:r w:rsidR="00293FD5">
        <w:t>fin de  permettre</w:t>
      </w:r>
      <w:r>
        <w:t xml:space="preserve"> au Burundi</w:t>
      </w:r>
      <w:r w:rsidR="00293FD5">
        <w:t xml:space="preserve"> d’avancer en terme de vérité, justice, réparations et réforme pour les millions de victimes de</w:t>
      </w:r>
      <w:r>
        <w:t>s</w:t>
      </w:r>
      <w:r w:rsidR="00293FD5">
        <w:t xml:space="preserve"> violations des droits de l’homme</w:t>
      </w:r>
      <w:r w:rsidR="001F2103">
        <w:t>, la lutte contre l’impunité a été un des principaux préalables pour une paix durable dans l’Accord de Paix d’Arusha de 2000.</w:t>
      </w:r>
    </w:p>
    <w:p w14:paraId="044AD32A" w:rsidR="001F2103" w:rsidRDefault="001F2103" w:rsidP="00126946">
      <w:pPr>
        <w:jc w:val="both"/>
      </w:pPr>
      <w:r>
        <w:t>En effet</w:t>
      </w:r>
      <w:r w:rsidR="008E7CBF">
        <w:t>,</w:t>
      </w:r>
      <w:r>
        <w:t xml:space="preserve"> ce</w:t>
      </w:r>
      <w:r w:rsidR="005A7D5A">
        <w:t>t</w:t>
      </w:r>
      <w:r w:rsidR="00F36869">
        <w:t xml:space="preserve"> </w:t>
      </w:r>
      <w:r>
        <w:t xml:space="preserve">Accord a prévu la mise en place des mécanismes de justice transitionnelle à travers la </w:t>
      </w:r>
      <w:r w:rsidR="00F36869">
        <w:t>C</w:t>
      </w:r>
      <w:r>
        <w:t>ommission Vérité et Réconciliation. Le concept de « justice transitionnelle » englobe «l’éventail complet des divers processus et mécanismes mis en œuvre par une société pour tenter de faire face à des exactions massives commises dans le passé, en vue d’établir les responsabilités, de rendre la justice et de permettre la réconciliation » - alors même que souvent « les institutions sont dévastées, les ressources épuisées, la sécurité compromise et la population traumatisée et divisée. »</w:t>
      </w:r>
    </w:p>
    <w:p w14:paraId="6CE7D137" w:rsidR="0086361D" w:rsidRDefault="0086361D" w:rsidP="00126946">
      <w:pPr>
        <w:jc w:val="both"/>
      </w:pPr>
      <w:r>
        <w:t xml:space="preserve">Après un très long processus de germination au cours duquel des consultations nationales sur la justice de transition au Burundi ont été organisées, et fort des recommandations issues de ces consultations, </w:t>
      </w:r>
      <w:r w:rsidR="001F2103">
        <w:t xml:space="preserve">la Commission Vérité et Réconciliation </w:t>
      </w:r>
      <w:r>
        <w:t>a été créée le 15 mai 2014 (Loi n°1/18 du 15 mai 2014 Portant Création, Mandat, Composition, Organisation et Fonctionnement de la Commission Vérité et Réconciliation).</w:t>
      </w:r>
      <w:r w:rsidR="001F2103">
        <w:t xml:space="preserve"> Il s’agit </w:t>
      </w:r>
      <w:r w:rsidR="00AB6DD4">
        <w:t>d’</w:t>
      </w:r>
      <w:r w:rsidR="001F2103">
        <w:t>un mécanisme non judiciaire qui vise à aider à déterminer les responsabilités institutionnelles, politiques,</w:t>
      </w:r>
      <w:r w:rsidR="00F65727">
        <w:t xml:space="preserve"> civiles,</w:t>
      </w:r>
      <w:r w:rsidR="001F2103">
        <w:t xml:space="preserve"> militaires et autres, à préserver les éléments de preuve, à identifier les auteurs des exactions et à recommander des mesures de</w:t>
      </w:r>
      <w:r w:rsidR="00F65727">
        <w:t xml:space="preserve"> poursuite</w:t>
      </w:r>
      <w:r w:rsidR="00AB6DD4">
        <w:t>,</w:t>
      </w:r>
      <w:r w:rsidR="00F65727">
        <w:t xml:space="preserve">  de</w:t>
      </w:r>
      <w:r w:rsidR="001F2103">
        <w:t xml:space="preserve"> réparation</w:t>
      </w:r>
      <w:r w:rsidR="00AB6DD4">
        <w:t>,</w:t>
      </w:r>
      <w:r w:rsidR="001F2103">
        <w:t xml:space="preserve"> et de réformes institutionnelles ; et à offrir aux victimes une véritable tribune</w:t>
      </w:r>
      <w:r w:rsidR="00AB6DD4">
        <w:t>,</w:t>
      </w:r>
      <w:r w:rsidR="001F2103">
        <w:t xml:space="preserve"> d’où elles p</w:t>
      </w:r>
      <w:r w:rsidR="00AB6DD4">
        <w:t>ourront</w:t>
      </w:r>
      <w:r w:rsidR="001F2103">
        <w:t xml:space="preserve"> s’exprimer</w:t>
      </w:r>
      <w:r w:rsidR="00AB6DD4">
        <w:t>,</w:t>
      </w:r>
      <w:r w:rsidR="001F2103">
        <w:t xml:space="preserve"> et qui est mieux adaptée à leurs besoins qu’une procédure judiciaire</w:t>
      </w:r>
      <w:r w:rsidR="00F65727">
        <w:t>.</w:t>
      </w:r>
    </w:p>
    <w:p w14:paraId="1B16209A" w:rsidR="0086361D" w:rsidRDefault="00F65727" w:rsidP="00126946">
      <w:pPr>
        <w:jc w:val="both"/>
      </w:pPr>
      <w:r>
        <w:t xml:space="preserve">La mise en place de </w:t>
      </w:r>
      <w:r w:rsidR="00AB6DD4">
        <w:t>la</w:t>
      </w:r>
      <w:r>
        <w:t xml:space="preserve"> Commission ainsi que la nomination des commissaires</w:t>
      </w:r>
      <w:r>
        <w:rPr>
          <w:rStyle w:val="FootnoteReference"/>
        </w:rPr>
        <w:footnoteReference w:id="2"/>
      </w:r>
      <w:r>
        <w:t xml:space="preserve"> expriment l’engagement du gouvernement burundais à </w:t>
      </w:r>
      <w:r w:rsidR="00AB6DD4">
        <w:t xml:space="preserve">faire face au </w:t>
      </w:r>
      <w:r>
        <w:t xml:space="preserve"> passé et  sa conviction que l’établissement de la vérité est une condition préalable essentielle </w:t>
      </w:r>
      <w:r w:rsidR="00F8476F">
        <w:t>à l’</w:t>
      </w:r>
      <w:r>
        <w:t xml:space="preserve">édification d’un Etat de Droit  </w:t>
      </w:r>
      <w:r w:rsidR="00AB6DD4">
        <w:t xml:space="preserve">Il </w:t>
      </w:r>
      <w:r>
        <w:t xml:space="preserve">reste toutefois que le Gouvernement </w:t>
      </w:r>
      <w:r w:rsidR="00AB6DD4">
        <w:t>doit prendre</w:t>
      </w:r>
      <w:r>
        <w:t xml:space="preserve"> une série d’engagements notamment  de doter la commission d’une loi claire et réaliste, des moyens matériels et budgétaires suffisant</w:t>
      </w:r>
      <w:r w:rsidR="00AB6DD4">
        <w:t>s</w:t>
      </w:r>
      <w:r>
        <w:t xml:space="preserve">, de s’engager à mettre en œuvre les recommandations de la </w:t>
      </w:r>
      <w:r>
        <w:lastRenderedPageBreak/>
        <w:t xml:space="preserve">Commission une fois le rapport final reçu, et éventuellement créer des mécanismes spécifiques dont le mandat serait de mettre œuvre les recommandations de la Commission Vérité Réconciliation ainsi qu’accélérer la mise en place des mécanismes d’accompagnement notamment la loi sur la protection des témoins et </w:t>
      </w:r>
      <w:r w:rsidR="00565B14">
        <w:t xml:space="preserve">des </w:t>
      </w:r>
      <w:r>
        <w:t>victimes.</w:t>
      </w:r>
    </w:p>
    <w:p w14:paraId="294BC7A1" w:rsidR="00A04C27" w:rsidRPr="00A04FD5" w:rsidRDefault="00A04C27" w:rsidP="00126946">
      <w:pPr>
        <w:pStyle w:val="ListParagraph"/>
        <w:numPr>
          <w:ilvl w:val="0"/>
          <w:numId w:val="11"/>
        </w:numPr>
        <w:jc w:val="both"/>
        <w:rPr>
          <w:b/>
        </w:rPr>
      </w:pPr>
      <w:r w:rsidRPr="00A04FD5">
        <w:rPr>
          <w:b/>
        </w:rPr>
        <w:t>Défis liés au nouveau contexte</w:t>
      </w:r>
    </w:p>
    <w:p w14:paraId="3FA66505" w:rsidR="00A04C27" w:rsidRDefault="00A04C27" w:rsidP="00126946">
      <w:pPr>
        <w:jc w:val="both"/>
      </w:pPr>
      <w:r>
        <w:t xml:space="preserve">Au regard de son mandat, la Commission est </w:t>
      </w:r>
      <w:r w:rsidR="0086361D">
        <w:t>chargée d’enquêter et d’établir la vérité sur les violations graves des droits de l’homme et du droit international humanitaire commises durant la période allant de la date de l’indépendance le 1er  juillet 1962 au 04 décembre 2008, date de la fin de la belligérance.</w:t>
      </w:r>
      <w:r>
        <w:t xml:space="preserve"> </w:t>
      </w:r>
      <w:r w:rsidR="007E1789">
        <w:t>A terme, la CVR devra, entre autres, proposer : a) u</w:t>
      </w:r>
      <w:r w:rsidR="007E1789" w:rsidRPr="00756318">
        <w:t>n programme de réparations comportant à la fois des mesures ind</w:t>
      </w:r>
      <w:r w:rsidR="007E1789">
        <w:t xml:space="preserve">ividuelles et collectives, tant matérielles que morales et symboliques ; </w:t>
      </w:r>
      <w:r w:rsidR="007E1789" w:rsidRPr="00756318">
        <w:t>b) la mise en place d’un programme d’actions visant à promouvoir le pardon et la réconciliation ;</w:t>
      </w:r>
      <w:r w:rsidR="008129E3">
        <w:t xml:space="preserve"> c) </w:t>
      </w:r>
      <w:r w:rsidR="008129E3" w:rsidRPr="00756318">
        <w:t>les réformes des institutions pour garantir la non répétition des événements du passé, afin de bâtir une société bu</w:t>
      </w:r>
      <w:r w:rsidR="0087592E">
        <w:t>rundaise juste et démocratique.</w:t>
      </w:r>
    </w:p>
    <w:p w14:paraId="082705D3" w:rsidR="0086361D" w:rsidRDefault="00715271" w:rsidP="00126946">
      <w:pPr>
        <w:jc w:val="both"/>
      </w:pPr>
      <w:r>
        <w:t>Suite aux</w:t>
      </w:r>
      <w:r w:rsidR="00565B14">
        <w:t xml:space="preserve"> </w:t>
      </w:r>
      <w:r w:rsidR="00A04C27">
        <w:t xml:space="preserve"> élections </w:t>
      </w:r>
      <w:r>
        <w:t xml:space="preserve">non consensuelles </w:t>
      </w:r>
      <w:r w:rsidR="00A04C27">
        <w:t>de 2015, le peuple burundais</w:t>
      </w:r>
      <w:r>
        <w:t xml:space="preserve"> est </w:t>
      </w:r>
      <w:r w:rsidR="00A04C27">
        <w:t xml:space="preserve">de nouveau divisé </w:t>
      </w:r>
      <w:r>
        <w:t>par</w:t>
      </w:r>
      <w:r w:rsidR="00565B14">
        <w:t xml:space="preserve"> des divergences politiques et </w:t>
      </w:r>
      <w:r w:rsidR="00F81C7D">
        <w:t xml:space="preserve">juridiques. </w:t>
      </w:r>
      <w:r w:rsidR="00A04C27">
        <w:t xml:space="preserve">A partir du </w:t>
      </w:r>
      <w:r w:rsidR="00A04C27" w:rsidRPr="00A04C27">
        <w:t>mois d’avril 2015, la situation sécuritaire s’est détériorée</w:t>
      </w:r>
      <w:r>
        <w:t>, en particulier</w:t>
      </w:r>
      <w:r w:rsidR="00A04C27" w:rsidRPr="00A04C27">
        <w:t xml:space="preserve"> dans l</w:t>
      </w:r>
      <w:r w:rsidR="00F8476F">
        <w:t>a ville de Bujumbura</w:t>
      </w:r>
      <w:r>
        <w:t>,</w:t>
      </w:r>
      <w:r w:rsidR="00F8476F">
        <w:t xml:space="preserve"> </w:t>
      </w:r>
      <w:r w:rsidR="00A04C27" w:rsidRPr="00A04C27">
        <w:t xml:space="preserve"> et les violations des droits de l’homme se sont accrues. Les exécutions </w:t>
      </w:r>
      <w:r w:rsidR="00F6011B">
        <w:t>sommaires</w:t>
      </w:r>
      <w:r w:rsidR="00A04C27" w:rsidRPr="00A04C27">
        <w:t>, les disparitions forcées, les tortures et les arrestations et détentions arbitraires ainsi que des cas de viols sont rapportés quasi quotidiennement. La plupart de ces violations des droits de l’homme ne sont pas enquêtés, ni poursuivis</w:t>
      </w:r>
      <w:r w:rsidR="00F6011B">
        <w:t>.</w:t>
      </w:r>
      <w:r w:rsidR="00A04C27" w:rsidRPr="00A04C27">
        <w:t xml:space="preserve"> Les limites  de </w:t>
      </w:r>
      <w:r w:rsidR="00F6011B">
        <w:t xml:space="preserve">l’indépendance de </w:t>
      </w:r>
      <w:r w:rsidR="00A04C27" w:rsidRPr="00A04C27">
        <w:t>l’appareil judiciaire dans ce contexte constituent un défi majeur pour le dialogue national</w:t>
      </w:r>
      <w:r w:rsidR="00F6011B">
        <w:t>,</w:t>
      </w:r>
      <w:r w:rsidR="00A04C27" w:rsidRPr="00A04C27">
        <w:t xml:space="preserve"> pour la réconciliation nationale et </w:t>
      </w:r>
      <w:r w:rsidR="00F6011B">
        <w:t xml:space="preserve">pour </w:t>
      </w:r>
      <w:r w:rsidR="00A04C27" w:rsidRPr="00A04C27">
        <w:t xml:space="preserve">la cohésion sociale. </w:t>
      </w:r>
    </w:p>
    <w:p w14:paraId="68FA2400" w:rsidR="00CD5666" w:rsidRDefault="00F6011B" w:rsidP="00126946">
      <w:pPr>
        <w:jc w:val="both"/>
      </w:pPr>
      <w:r>
        <w:t xml:space="preserve">Bien que </w:t>
      </w:r>
      <w:r w:rsidR="00CD5666">
        <w:t xml:space="preserve"> le mandat de la CVR </w:t>
      </w:r>
      <w:r>
        <w:t xml:space="preserve">soit </w:t>
      </w:r>
      <w:r w:rsidR="00CD5666">
        <w:t xml:space="preserve"> limitée dans le temps</w:t>
      </w:r>
      <w:r>
        <w:t xml:space="preserve"> (</w:t>
      </w:r>
      <w:r w:rsidR="00715271">
        <w:t xml:space="preserve">elle connait des crimes commis </w:t>
      </w:r>
      <w:r w:rsidR="00CD5666">
        <w:t>jusqu’en décembre 2008</w:t>
      </w:r>
      <w:r>
        <w:t>)</w:t>
      </w:r>
      <w:r w:rsidR="00CD5666">
        <w:t xml:space="preserve">, l’impunité liée aux nouvelles violations des droits de l’homme commises </w:t>
      </w:r>
      <w:r w:rsidR="00715271">
        <w:t>en 2015 -16</w:t>
      </w:r>
      <w:r w:rsidR="00CD5666">
        <w:t xml:space="preserve"> </w:t>
      </w:r>
      <w:r>
        <w:t xml:space="preserve"> interpelle l’institution.</w:t>
      </w:r>
      <w:r w:rsidR="00CD5666">
        <w:t xml:space="preserve"> </w:t>
      </w:r>
      <w:r w:rsidR="00715271">
        <w:t xml:space="preserve">L’impact de ces violations et de leur </w:t>
      </w:r>
      <w:r w:rsidR="00EF0FFA">
        <w:t xml:space="preserve">impunité est la remise en cause de la crédibilité de la CVR. On note </w:t>
      </w:r>
      <w:r>
        <w:t xml:space="preserve"> </w:t>
      </w:r>
      <w:r w:rsidR="00CD5666">
        <w:t xml:space="preserve">l’apparition </w:t>
      </w:r>
      <w:r w:rsidR="00EF0FFA">
        <w:t>crescendo</w:t>
      </w:r>
      <w:r w:rsidR="00CD5666">
        <w:t xml:space="preserve"> d’une certaine méfiance </w:t>
      </w:r>
      <w:r>
        <w:t xml:space="preserve">vis-à-vis de la CVR </w:t>
      </w:r>
      <w:r w:rsidR="00CD5666">
        <w:t>au niveau communautaire</w:t>
      </w:r>
      <w:r w:rsidR="00EF0FFA">
        <w:t>,</w:t>
      </w:r>
      <w:r w:rsidR="00CD5666">
        <w:t xml:space="preserve"> </w:t>
      </w:r>
      <w:r w:rsidR="000F5142">
        <w:t xml:space="preserve">qui  constitue une contrainte à sa réussite et un risque majeur pour le processus de </w:t>
      </w:r>
      <w:r w:rsidR="00CD5666">
        <w:t xml:space="preserve"> réconciliation </w:t>
      </w:r>
      <w:r w:rsidR="000F5142">
        <w:t>nationale</w:t>
      </w:r>
      <w:r w:rsidR="00CD5666">
        <w:t>.</w:t>
      </w:r>
      <w:r w:rsidR="00EF0FFA">
        <w:t xml:space="preserve"> Des étude</w:t>
      </w:r>
      <w:r w:rsidR="00F36869">
        <w:t>s</w:t>
      </w:r>
      <w:r w:rsidR="00EF0FFA">
        <w:t xml:space="preserve"> menée</w:t>
      </w:r>
      <w:r w:rsidR="00F36869">
        <w:t>s</w:t>
      </w:r>
      <w:r w:rsidR="00EF0FFA">
        <w:t xml:space="preserve"> sur le terrain (notamment par Impunité Watch, une ONG internationale néerlandaise) </w:t>
      </w:r>
      <w:r w:rsidR="00F36869">
        <w:t>témoignent</w:t>
      </w:r>
      <w:r w:rsidR="00EF0FFA">
        <w:t xml:space="preserve"> plus globalement de la </w:t>
      </w:r>
      <w:r w:rsidR="00F36869">
        <w:t>méconnaissance</w:t>
      </w:r>
      <w:r w:rsidR="00EF0FFA">
        <w:t xml:space="preserve"> et / ou de la mauvaise </w:t>
      </w:r>
      <w:r w:rsidR="00F36869">
        <w:t>compréhension</w:t>
      </w:r>
      <w:r w:rsidR="00EF0FFA">
        <w:t xml:space="preserve"> du mandat et des mission de la CVR aussi bien par les victimes que par les </w:t>
      </w:r>
      <w:r w:rsidR="00F36869">
        <w:t>témoins</w:t>
      </w:r>
      <w:r w:rsidR="00EF0FFA">
        <w:t xml:space="preserve">, avec comme </w:t>
      </w:r>
      <w:r w:rsidR="00F36869">
        <w:t>conséquence</w:t>
      </w:r>
      <w:r w:rsidR="00EF0FFA">
        <w:t xml:space="preserve"> des attentes </w:t>
      </w:r>
      <w:r w:rsidR="00F36869">
        <w:t>inappropriées</w:t>
      </w:r>
      <w:r w:rsidR="00EF0FFA">
        <w:t xml:space="preserve"> du travail à la Commission, sources potentielles </w:t>
      </w:r>
      <w:r w:rsidR="00F36869">
        <w:t>d’incompréhension</w:t>
      </w:r>
      <w:r w:rsidR="00EF0FFA">
        <w:t xml:space="preserve"> et de conflits </w:t>
      </w:r>
      <w:r w:rsidR="00F36869">
        <w:t>à</w:t>
      </w:r>
      <w:r w:rsidR="00EF0FFA">
        <w:t xml:space="preserve"> terme si des dispositions urgentes n’</w:t>
      </w:r>
      <w:r w:rsidR="00F36869">
        <w:t>étaient</w:t>
      </w:r>
      <w:r w:rsidR="00EF0FFA">
        <w:t xml:space="preserve"> pas prise pour l’information large et correcte des populations.</w:t>
      </w:r>
    </w:p>
    <w:p w14:paraId="6E7B5E41" w:rsidR="00CD5666" w:rsidRPr="00F81C7D" w:rsidRDefault="000F5142" w:rsidP="00126946">
      <w:pPr>
        <w:pStyle w:val="ListParagraph"/>
        <w:numPr>
          <w:ilvl w:val="0"/>
          <w:numId w:val="11"/>
        </w:numPr>
        <w:jc w:val="both"/>
        <w:rPr>
          <w:b/>
        </w:rPr>
      </w:pPr>
      <w:r w:rsidRPr="00F81C7D">
        <w:rPr>
          <w:b/>
        </w:rPr>
        <w:t>Acquis d</w:t>
      </w:r>
      <w:r w:rsidR="00F83049">
        <w:rPr>
          <w:b/>
        </w:rPr>
        <w:t>e la</w:t>
      </w:r>
      <w:r w:rsidRPr="00F81C7D">
        <w:rPr>
          <w:b/>
        </w:rPr>
        <w:t xml:space="preserve"> CVR, Partenariats et Assistances en cours</w:t>
      </w:r>
    </w:p>
    <w:p w14:paraId="74F0E493" w:rsidR="000F5142" w:rsidRDefault="000F5142" w:rsidP="00126946">
      <w:pPr>
        <w:jc w:val="both"/>
      </w:pPr>
      <w:r w:rsidRPr="00CC5FAD">
        <w:t xml:space="preserve">La Commission </w:t>
      </w:r>
      <w:r>
        <w:t>a été</w:t>
      </w:r>
      <w:r w:rsidR="0077452B">
        <w:t xml:space="preserve"> officiellement lancée le 4 mars 2016,</w:t>
      </w:r>
      <w:r>
        <w:t xml:space="preserve"> </w:t>
      </w:r>
      <w:r w:rsidR="0077452B">
        <w:t>et</w:t>
      </w:r>
      <w:r w:rsidRPr="00CC5FAD">
        <w:t xml:space="preserve"> dispose </w:t>
      </w:r>
      <w:r w:rsidR="0077452B">
        <w:t>pour l’instant</w:t>
      </w:r>
      <w:r w:rsidRPr="00CC5FAD">
        <w:t xml:space="preserve"> de</w:t>
      </w:r>
      <w:r w:rsidR="00F62580">
        <w:t>s</w:t>
      </w:r>
      <w:r w:rsidRPr="00CC5FAD">
        <w:t xml:space="preserve"> ressources et d’expertise</w:t>
      </w:r>
      <w:r>
        <w:t>s</w:t>
      </w:r>
      <w:r w:rsidR="0077452B">
        <w:t xml:space="preserve"> limitées</w:t>
      </w:r>
      <w:r w:rsidRPr="00CC5FAD">
        <w:t>.</w:t>
      </w:r>
      <w:r w:rsidR="0077452B">
        <w:t xml:space="preserve"> Il est </w:t>
      </w:r>
      <w:r w:rsidR="00231D36">
        <w:t>prévu</w:t>
      </w:r>
      <w:r w:rsidR="0077452B">
        <w:t xml:space="preserve"> le recrutement de 150 </w:t>
      </w:r>
      <w:r w:rsidR="00231D36">
        <w:t>enquêteurs</w:t>
      </w:r>
      <w:r w:rsidR="0077452B">
        <w:t xml:space="preserve"> et 25 000 – 30 000 </w:t>
      </w:r>
      <w:r w:rsidRPr="00CC5FAD">
        <w:t xml:space="preserve"> Elle a </w:t>
      </w:r>
      <w:r>
        <w:t xml:space="preserve">exprimé des besoins en renforcement de </w:t>
      </w:r>
      <w:r w:rsidRPr="00CC5FAD">
        <w:t>capacités institutionnelles, organisationnelles</w:t>
      </w:r>
      <w:r w:rsidR="00E0678B">
        <w:t>,</w:t>
      </w:r>
      <w:r>
        <w:t xml:space="preserve"> matérielles</w:t>
      </w:r>
      <w:r w:rsidRPr="00CC5FAD">
        <w:t xml:space="preserve"> ainsi que </w:t>
      </w:r>
      <w:r w:rsidR="00E0678B">
        <w:t xml:space="preserve">de </w:t>
      </w:r>
      <w:r w:rsidRPr="00CC5FAD">
        <w:t xml:space="preserve"> capacités techniques </w:t>
      </w:r>
      <w:r w:rsidR="00E0678B">
        <w:t xml:space="preserve">individuelles </w:t>
      </w:r>
      <w:r w:rsidRPr="00CC5FAD">
        <w:t xml:space="preserve">de ses membres (Commissaires et personnel d’appui) pour </w:t>
      </w:r>
      <w:r w:rsidR="00F81C7D">
        <w:t xml:space="preserve">mener </w:t>
      </w:r>
      <w:r w:rsidRPr="00CC5FAD">
        <w:t>sa mission</w:t>
      </w:r>
      <w:r w:rsidR="00E0678B">
        <w:t xml:space="preserve"> à bien.</w:t>
      </w:r>
    </w:p>
    <w:p w14:paraId="2E087383" w:rsidR="00CC5FAD" w:rsidRDefault="00E0678B" w:rsidP="00126946">
      <w:pPr>
        <w:jc w:val="both"/>
      </w:pPr>
      <w:r>
        <w:t xml:space="preserve">La coordination </w:t>
      </w:r>
      <w:r w:rsidR="00CD5666">
        <w:t xml:space="preserve"> de l’a</w:t>
      </w:r>
      <w:r>
        <w:t xml:space="preserve">ssistance </w:t>
      </w:r>
      <w:r w:rsidR="00CD5666">
        <w:t xml:space="preserve"> international</w:t>
      </w:r>
      <w:r>
        <w:t>e</w:t>
      </w:r>
      <w:r w:rsidR="00CD5666">
        <w:t xml:space="preserve"> à la CVR </w:t>
      </w:r>
      <w:r>
        <w:t>a été jusque-là assurée par</w:t>
      </w:r>
      <w:r w:rsidR="00CD5666">
        <w:t xml:space="preserve"> l’Ambassade de  </w:t>
      </w:r>
      <w:r>
        <w:t xml:space="preserve">France à travers l’animation </w:t>
      </w:r>
      <w:r w:rsidR="00FB2E7A">
        <w:t xml:space="preserve"> d’un cadre d’échange des  partenaires</w:t>
      </w:r>
      <w:r>
        <w:t xml:space="preserve">. Ce dispositif est complété aujourd’hui par le </w:t>
      </w:r>
      <w:r w:rsidR="00432B6B">
        <w:t>Bureau du Haut-Commissariat</w:t>
      </w:r>
      <w:r>
        <w:t xml:space="preserve"> au Droit de l’Homme (conformément à la Résolution 2248 du </w:t>
      </w:r>
      <w:r w:rsidR="00432B6B">
        <w:t>C</w:t>
      </w:r>
      <w:r>
        <w:t xml:space="preserve">onseil de </w:t>
      </w:r>
      <w:r w:rsidR="00432B6B">
        <w:t>S</w:t>
      </w:r>
      <w:r>
        <w:t>écurité)</w:t>
      </w:r>
      <w:r w:rsidR="00FB2E7A">
        <w:t xml:space="preserve">. </w:t>
      </w:r>
    </w:p>
    <w:p w14:paraId="53531115" w:rsidR="00917C81" w:rsidRDefault="00917C81" w:rsidP="00126946">
      <w:pPr>
        <w:jc w:val="both"/>
      </w:pPr>
      <w:r>
        <w:t>La CVR dispose d’un Plan Stratégique (2016 – 20….) et d’un Plan Opérationnel pour 2016</w:t>
      </w:r>
      <w:r w:rsidR="00432B6B">
        <w:t>.</w:t>
      </w:r>
      <w:r w:rsidR="00FB2E7A">
        <w:t xml:space="preserve"> </w:t>
      </w:r>
      <w:r w:rsidR="00F83049">
        <w:t xml:space="preserve">Elle </w:t>
      </w:r>
      <w:r w:rsidR="002502EF">
        <w:t>bénéficie</w:t>
      </w:r>
      <w:r w:rsidR="00F83049">
        <w:t xml:space="preserve"> des appuis de ……………………..et du ……………………………….notamment pour le renforcement des </w:t>
      </w:r>
      <w:r w:rsidR="002502EF">
        <w:t>capacités</w:t>
      </w:r>
      <w:r w:rsidR="00F83049">
        <w:t xml:space="preserve">, et pour l’organisation d’une Table – ronde de mobilisation des partenaires et des ressources en avril 2016. </w:t>
      </w:r>
      <w:r w:rsidR="00CC5FAD">
        <w:t>L</w:t>
      </w:r>
      <w:r w:rsidR="002502EF">
        <w:t>e</w:t>
      </w:r>
      <w:r>
        <w:t xml:space="preserve"> </w:t>
      </w:r>
      <w:r>
        <w:lastRenderedPageBreak/>
        <w:t>cadre de</w:t>
      </w:r>
      <w:r w:rsidR="00432B6B">
        <w:t xml:space="preserve"> </w:t>
      </w:r>
      <w:r>
        <w:t xml:space="preserve">coordination </w:t>
      </w:r>
      <w:r w:rsidR="00CC5FAD">
        <w:t xml:space="preserve"> </w:t>
      </w:r>
      <w:r>
        <w:t xml:space="preserve">et partenariat </w:t>
      </w:r>
      <w:r w:rsidR="002502EF">
        <w:t>de la CVR est</w:t>
      </w:r>
      <w:r>
        <w:t xml:space="preserve"> le «  Conseil consultatif international » instrument </w:t>
      </w:r>
      <w:r w:rsidR="002502EF">
        <w:t>prévu</w:t>
      </w:r>
      <w:r>
        <w:t xml:space="preserve"> par la Loi portant création de la Commission</w:t>
      </w:r>
      <w:r w:rsidR="002502EF">
        <w:t>.</w:t>
      </w:r>
    </w:p>
    <w:p w14:paraId="46CF135A" w:rsidR="00FB2E7A" w:rsidRPr="00F81C7D" w:rsidRDefault="008D5F36" w:rsidP="00126946">
      <w:pPr>
        <w:pStyle w:val="ListParagraph"/>
        <w:numPr>
          <w:ilvl w:val="0"/>
          <w:numId w:val="11"/>
        </w:numPr>
        <w:jc w:val="both"/>
        <w:rPr>
          <w:b/>
        </w:rPr>
      </w:pPr>
      <w:r w:rsidRPr="00F81C7D">
        <w:rPr>
          <w:b/>
        </w:rPr>
        <w:t xml:space="preserve">Rationnel / Logique de l’intervention </w:t>
      </w:r>
      <w:r w:rsidR="002502EF" w:rsidRPr="00F81C7D">
        <w:rPr>
          <w:b/>
        </w:rPr>
        <w:t xml:space="preserve">des partenaires / </w:t>
      </w:r>
      <w:r w:rsidRPr="00F81C7D">
        <w:rPr>
          <w:b/>
        </w:rPr>
        <w:t>d</w:t>
      </w:r>
      <w:r w:rsidR="002502EF" w:rsidRPr="00F81C7D">
        <w:rPr>
          <w:b/>
        </w:rPr>
        <w:t>u</w:t>
      </w:r>
      <w:r w:rsidRPr="00F81C7D">
        <w:rPr>
          <w:b/>
        </w:rPr>
        <w:t xml:space="preserve"> PNUD</w:t>
      </w:r>
      <w:r w:rsidR="00432B6B" w:rsidRPr="00F81C7D">
        <w:rPr>
          <w:b/>
        </w:rPr>
        <w:t> :</w:t>
      </w:r>
    </w:p>
    <w:p w14:paraId="75811E2E" w:rsidR="00432B6B" w:rsidRPr="00F81C7D" w:rsidRDefault="00432B6B" w:rsidP="00126946">
      <w:pPr>
        <w:pStyle w:val="ListParagraph"/>
        <w:jc w:val="both"/>
        <w:rPr>
          <w:b/>
        </w:rPr>
      </w:pPr>
    </w:p>
    <w:p w14:paraId="5622ECB9" w:rsidR="002502EF" w:rsidRDefault="008D5F36" w:rsidP="00126946">
      <w:pPr>
        <w:jc w:val="both"/>
      </w:pPr>
      <w:r>
        <w:t xml:space="preserve">L’assistance </w:t>
      </w:r>
      <w:r w:rsidR="002502EF">
        <w:t xml:space="preserve">des partenaires / </w:t>
      </w:r>
      <w:r>
        <w:t>du PNUD vise à : i) Préserver le momentum atteint par le pays par la mise en place d’une Commission Vérité et Réconciliation,  les acquis légaux et les consensus qui en constituent le socle ;</w:t>
      </w:r>
      <w:r w:rsidR="00432B6B">
        <w:t xml:space="preserve"> ii</w:t>
      </w:r>
      <w:r>
        <w:t>) Renforcer les capacités de la C</w:t>
      </w:r>
      <w:r w:rsidR="00432B6B">
        <w:t>VR</w:t>
      </w:r>
      <w:r>
        <w:t> </w:t>
      </w:r>
      <w:r w:rsidR="00432B6B">
        <w:t>à</w:t>
      </w:r>
      <w:r>
        <w:t xml:space="preserve"> faire face à ses missions de plaidoyer</w:t>
      </w:r>
      <w:r w:rsidR="002502EF">
        <w:t xml:space="preserve"> et sensibilisation</w:t>
      </w:r>
      <w:r>
        <w:t xml:space="preserve">, d’investigation, et de construction des bases de la réconciliation et de la cohésion sociale ; </w:t>
      </w:r>
      <w:r w:rsidR="00432B6B">
        <w:t>iii</w:t>
      </w:r>
      <w:r>
        <w:t xml:space="preserve">) </w:t>
      </w:r>
      <w:r w:rsidR="00432B6B">
        <w:t>renforcer les capacités des OSC </w:t>
      </w:r>
      <w:r w:rsidR="002502EF">
        <w:t>/</w:t>
      </w:r>
      <w:r w:rsidR="00C15BF5">
        <w:t xml:space="preserve"> CSO à</w:t>
      </w:r>
      <w:r w:rsidR="00432B6B">
        <w:t xml:space="preserve"> accompagner /appuyer les victimes et les témoins à participer au processus CVR en connaissance de cause ; </w:t>
      </w:r>
      <w:r w:rsidR="002502EF">
        <w:t xml:space="preserve">iv) </w:t>
      </w:r>
      <w:r w:rsidR="00432B6B">
        <w:t>renforcer les capacités</w:t>
      </w:r>
      <w:r w:rsidR="00C15BF5">
        <w:t xml:space="preserve"> de </w:t>
      </w:r>
      <w:r w:rsidR="00432B6B">
        <w:t>coordination des partenaires, et de monitoring et reporting sur les progrès de la CVR vers les résultats</w:t>
      </w:r>
      <w:r w:rsidR="00C15BF5">
        <w:t xml:space="preserve"> assignés à elle.</w:t>
      </w:r>
    </w:p>
    <w:p w14:paraId="71E8F4A0" w:rsidR="0086361D" w:rsidRDefault="002502EF" w:rsidP="00126946">
      <w:pPr>
        <w:jc w:val="both"/>
      </w:pPr>
      <w:r>
        <w:t xml:space="preserve">Cette assistance ciblera prioritairement les </w:t>
      </w:r>
      <w:r w:rsidR="008129E3">
        <w:t>communautés</w:t>
      </w:r>
      <w:r>
        <w:t xml:space="preserve"> au niveau des provinces qui sont les </w:t>
      </w:r>
      <w:r w:rsidR="008129E3">
        <w:t>bénéficiaires</w:t>
      </w:r>
      <w:r>
        <w:t xml:space="preserve"> finaux aussi des </w:t>
      </w:r>
      <w:r w:rsidR="008129E3">
        <w:t>activités</w:t>
      </w:r>
      <w:r>
        <w:t xml:space="preserve"> d’information, de plaidoyer et sensibilisation, que </w:t>
      </w:r>
      <w:r w:rsidR="00C15BF5">
        <w:t>de celles relatives au</w:t>
      </w:r>
      <w:r>
        <w:t xml:space="preserve"> renforcement</w:t>
      </w:r>
      <w:r w:rsidR="00C15BF5">
        <w:t xml:space="preserve"> de</w:t>
      </w:r>
      <w:r>
        <w:t xml:space="preserve"> </w:t>
      </w:r>
      <w:r w:rsidR="008129E3">
        <w:t>capacités, y compris de monitoring et reporting régulier.</w:t>
      </w:r>
    </w:p>
    <w:p w14:paraId="10CFAE55" w:rsidR="004B0C4B" w:rsidRDefault="00E31DDC" w:rsidP="00126946">
      <w:pPr>
        <w:jc w:val="both"/>
      </w:pPr>
      <w:r>
        <w:t>L</w:t>
      </w:r>
      <w:r w:rsidR="0086361D">
        <w:t xml:space="preserve">a présente Note conceptuelle vise à définir </w:t>
      </w:r>
      <w:r>
        <w:t xml:space="preserve">le positionnement </w:t>
      </w:r>
      <w:r w:rsidR="00CC5FAD">
        <w:t xml:space="preserve"> </w:t>
      </w:r>
      <w:r w:rsidR="00432B6B">
        <w:t xml:space="preserve">des partenaires, </w:t>
      </w:r>
      <w:r w:rsidR="002502EF">
        <w:t>singulièrement</w:t>
      </w:r>
      <w:r w:rsidR="00432B6B">
        <w:t xml:space="preserve"> celui </w:t>
      </w:r>
      <w:r w:rsidR="00CC5FAD">
        <w:t>du PNUD</w:t>
      </w:r>
      <w:r w:rsidR="00715271">
        <w:t>, dans un cadre conjoint d’intervention,</w:t>
      </w:r>
      <w:r w:rsidR="00CC5FAD">
        <w:t xml:space="preserve"> </w:t>
      </w:r>
      <w:r>
        <w:t xml:space="preserve">en appui à </w:t>
      </w:r>
      <w:r w:rsidR="00CC5FAD">
        <w:t xml:space="preserve"> la CVR dans </w:t>
      </w:r>
      <w:r>
        <w:t xml:space="preserve">le nouveau contexte de </w:t>
      </w:r>
      <w:r w:rsidR="00715271">
        <w:t>sortie de crise</w:t>
      </w:r>
      <w:r>
        <w:t>, et d’émergence de nouveaux partenaires internationaux auprès de la CVR</w:t>
      </w:r>
      <w:r w:rsidR="00CC5FAD">
        <w:t>.</w:t>
      </w:r>
      <w:r w:rsidR="0086361D">
        <w:t xml:space="preserve"> </w:t>
      </w:r>
    </w:p>
    <w:p w14:paraId="4E790E62" w:rsidR="0086361D" w:rsidRDefault="0086361D" w:rsidP="00126946">
      <w:pPr>
        <w:pStyle w:val="ListParagraph"/>
        <w:numPr>
          <w:ilvl w:val="0"/>
          <w:numId w:val="12"/>
        </w:numPr>
        <w:jc w:val="both"/>
      </w:pPr>
      <w:r>
        <w:t xml:space="preserve"> </w:t>
      </w:r>
      <w:r w:rsidRPr="00A04FD5">
        <w:rPr>
          <w:b/>
        </w:rPr>
        <w:t>Alignement du projet au cadre programmatique du PNUD</w:t>
      </w:r>
    </w:p>
    <w:p w14:paraId="41D2850B" w:rsidR="0086361D" w:rsidRPr="00F81C7D" w:rsidRDefault="0086361D" w:rsidP="00126946">
      <w:pPr>
        <w:pBdr>
          <w:top w:val="single" w:sz="4" w:space="1" w:color="auto"/>
          <w:left w:val="single" w:sz="4" w:space="4" w:color="auto"/>
          <w:bottom w:val="single" w:sz="4" w:space="1" w:color="auto"/>
          <w:right w:val="single" w:sz="4" w:space="4" w:color="auto"/>
        </w:pBdr>
        <w:jc w:val="both"/>
        <w:rPr>
          <w:i/>
        </w:rPr>
      </w:pPr>
      <w:r>
        <w:t xml:space="preserve">Axe 1 : </w:t>
      </w:r>
      <w:r w:rsidRPr="00F81C7D">
        <w:rPr>
          <w:i/>
        </w:rPr>
        <w:t>Renforcement de l’état de droit, consolidation de la bonne gouvernance et promotion de l’égalité du genre</w:t>
      </w:r>
    </w:p>
    <w:p w14:paraId="1B6FCFCF" w:rsidR="0086361D" w:rsidRDefault="0086361D" w:rsidP="00126946">
      <w:pPr>
        <w:pBdr>
          <w:top w:val="single" w:sz="4" w:space="1" w:color="auto"/>
          <w:left w:val="single" w:sz="4" w:space="4" w:color="auto"/>
          <w:bottom w:val="single" w:sz="4" w:space="1" w:color="auto"/>
          <w:right w:val="single" w:sz="4" w:space="4" w:color="auto"/>
        </w:pBdr>
        <w:jc w:val="both"/>
      </w:pPr>
      <w:r>
        <w:t>Résultat(s) de l’UNDAF  (Plan cadre des Nations Unies pour le développement) :</w:t>
      </w:r>
    </w:p>
    <w:p w14:paraId="0BD8D6FF" w:rsidR="0086361D" w:rsidRPr="00F81C7D" w:rsidRDefault="0086361D" w:rsidP="00126946">
      <w:pPr>
        <w:pBdr>
          <w:top w:val="single" w:sz="4" w:space="1" w:color="auto"/>
          <w:left w:val="single" w:sz="4" w:space="4" w:color="auto"/>
          <w:bottom w:val="single" w:sz="4" w:space="1" w:color="auto"/>
          <w:right w:val="single" w:sz="4" w:space="4" w:color="auto"/>
        </w:pBdr>
        <w:jc w:val="both"/>
        <w:rPr>
          <w:i/>
        </w:rPr>
      </w:pPr>
      <w:r>
        <w:t xml:space="preserve"> 1.1 </w:t>
      </w:r>
      <w:r w:rsidRPr="00F81C7D">
        <w:rPr>
          <w:i/>
        </w:rPr>
        <w:t>Les systèmes judiciaire et sécuritaire ainsi que les institutions de protection des droits de la personne humaine, de lutte contre l’impunité et de promotion de la réconciliation nationale sont performants (y compris  l’indépendance du judiciaire) et sensibles au genre et  au VIH.</w:t>
      </w:r>
    </w:p>
    <w:p w14:paraId="6F5DD0C2" w:rsidR="0086361D" w:rsidRDefault="0086361D" w:rsidP="00126946">
      <w:pPr>
        <w:pBdr>
          <w:top w:val="single" w:sz="4" w:space="1" w:color="auto"/>
          <w:left w:val="single" w:sz="4" w:space="4" w:color="auto"/>
          <w:bottom w:val="single" w:sz="4" w:space="1" w:color="auto"/>
          <w:right w:val="single" w:sz="4" w:space="4" w:color="auto"/>
        </w:pBdr>
        <w:jc w:val="both"/>
      </w:pPr>
      <w:r>
        <w:t>1.1.1</w:t>
      </w:r>
      <w:r>
        <w:tab/>
      </w:r>
      <w:r w:rsidRPr="00F81C7D">
        <w:rPr>
          <w:i/>
        </w:rPr>
        <w:t>Les systèmes judiciaires, sécuritaire et pénitentiaire fonctionnent dans un cadre institutionnel et légal reformé conformément aux standards internationaux des droits de l’Homme.</w:t>
      </w:r>
    </w:p>
    <w:p w14:paraId="5D12370F" w:rsidR="0086361D" w:rsidRDefault="0086361D" w:rsidP="00126946">
      <w:pPr>
        <w:pBdr>
          <w:top w:val="single" w:sz="4" w:space="1" w:color="auto"/>
          <w:left w:val="single" w:sz="4" w:space="4" w:color="auto"/>
          <w:bottom w:val="single" w:sz="4" w:space="1" w:color="auto"/>
          <w:right w:val="single" w:sz="4" w:space="4" w:color="auto"/>
        </w:pBdr>
        <w:jc w:val="both"/>
      </w:pPr>
      <w:r>
        <w:t xml:space="preserve">Résultat(s) attendu(s) du Programme de pays (Country Programme Document- CPD) : </w:t>
      </w:r>
    </w:p>
    <w:p w14:paraId="45196391" w:rsidR="0086361D" w:rsidRDefault="0086361D" w:rsidP="00126946">
      <w:pPr>
        <w:pBdr>
          <w:top w:val="single" w:sz="4" w:space="1" w:color="auto"/>
          <w:left w:val="single" w:sz="4" w:space="4" w:color="auto"/>
          <w:bottom w:val="single" w:sz="4" w:space="1" w:color="auto"/>
          <w:right w:val="single" w:sz="4" w:space="4" w:color="auto"/>
        </w:pBdr>
        <w:jc w:val="both"/>
      </w:pPr>
      <w:r>
        <w:t>1.</w:t>
      </w:r>
      <w:r>
        <w:tab/>
      </w:r>
      <w:r w:rsidRPr="00F81C7D">
        <w:rPr>
          <w:i/>
        </w:rPr>
        <w:t>La politique de réforme législative et institutionnelle de la justice et le fonctionnement régulier et efficace du système pénitentiaire et de l’assistance juridique sont mis en œuvre</w:t>
      </w:r>
    </w:p>
    <w:p w14:paraId="17CA40D3" w:rsidR="0086361D" w:rsidRPr="00F81C7D" w:rsidRDefault="0086361D" w:rsidP="00126946">
      <w:pPr>
        <w:pStyle w:val="ListParagraph"/>
        <w:numPr>
          <w:ilvl w:val="0"/>
          <w:numId w:val="12"/>
        </w:numPr>
        <w:jc w:val="both"/>
        <w:rPr>
          <w:b/>
        </w:rPr>
      </w:pPr>
      <w:r w:rsidRPr="00F81C7D">
        <w:rPr>
          <w:b/>
        </w:rPr>
        <w:t>OBJECTIFS</w:t>
      </w:r>
    </w:p>
    <w:p w14:paraId="5F487D3D" w:rsidR="0086361D" w:rsidRDefault="0086361D" w:rsidP="00126946">
      <w:pPr>
        <w:jc w:val="both"/>
      </w:pPr>
      <w:r>
        <w:t>2.1.</w:t>
      </w:r>
      <w:r>
        <w:tab/>
      </w:r>
      <w:r>
        <w:t>Objectif général</w:t>
      </w:r>
      <w:r w:rsidR="0087592E">
        <w:t xml:space="preserve"> du projet conjoint propose</w:t>
      </w:r>
    </w:p>
    <w:p w14:paraId="468AB42D" w:rsidR="0087592E" w:rsidRDefault="00D72E0A" w:rsidP="00126946">
      <w:pPr>
        <w:jc w:val="both"/>
      </w:pPr>
      <w:r>
        <w:t>Appuyer le processus de justice transitionnelle</w:t>
      </w:r>
      <w:r w:rsidR="004B0C4B">
        <w:t xml:space="preserve">, de vérité et réconciliation pour la reconstruction de  la cohésion sociale </w:t>
      </w:r>
      <w:r w:rsidR="00C15BF5">
        <w:t>au Burundi.</w:t>
      </w:r>
    </w:p>
    <w:p w14:paraId="0AFF5CCD" w:rsidR="0086361D" w:rsidRDefault="0086361D" w:rsidP="00126946">
      <w:pPr>
        <w:jc w:val="both"/>
      </w:pPr>
      <w:r>
        <w:t>2.2.</w:t>
      </w:r>
      <w:r>
        <w:tab/>
      </w:r>
      <w:r>
        <w:t>Objectifs spécifiques</w:t>
      </w:r>
      <w:r w:rsidR="0087592E">
        <w:t xml:space="preserve"> du projet conjoint propose</w:t>
      </w:r>
    </w:p>
    <w:p w14:paraId="1F4F1D26" w:rsidR="0087592E" w:rsidRDefault="004B0C4B" w:rsidP="00126946">
      <w:pPr>
        <w:pStyle w:val="ListParagraph"/>
        <w:numPr>
          <w:ilvl w:val="0"/>
          <w:numId w:val="29"/>
        </w:numPr>
        <w:jc w:val="both"/>
      </w:pPr>
      <w:r>
        <w:t>F</w:t>
      </w:r>
      <w:r w:rsidR="00D72E0A">
        <w:t>aciliter la mise en œuvre  d</w:t>
      </w:r>
      <w:r>
        <w:t>es</w:t>
      </w:r>
      <w:r w:rsidR="00D72E0A">
        <w:t xml:space="preserve"> plan</w:t>
      </w:r>
      <w:r>
        <w:t>s</w:t>
      </w:r>
      <w:r w:rsidR="00D72E0A">
        <w:t xml:space="preserve"> stratégique </w:t>
      </w:r>
      <w:r>
        <w:t xml:space="preserve">et opérationnel </w:t>
      </w:r>
      <w:r w:rsidR="00D72E0A">
        <w:t>de la CVR</w:t>
      </w:r>
      <w:r>
        <w:t>, et sa contribution spécialisée au processus de dialogue National</w:t>
      </w:r>
    </w:p>
    <w:p w14:paraId="6DD9543E" w:rsidR="00005DAB" w:rsidRDefault="00D46A85" w:rsidP="00126946">
      <w:pPr>
        <w:pStyle w:val="ListParagraph"/>
        <w:numPr>
          <w:ilvl w:val="0"/>
          <w:numId w:val="29"/>
        </w:numPr>
        <w:jc w:val="both"/>
      </w:pPr>
      <w:r>
        <w:t xml:space="preserve">Contribuer à l’accroissement du </w:t>
      </w:r>
      <w:r w:rsidR="0086361D">
        <w:t xml:space="preserve"> niveau d’acceptation et de confiance du public au processus de réconciliation nationale conduit par la CVR;</w:t>
      </w:r>
    </w:p>
    <w:p w14:paraId="655DA61C" w:rsidR="008F0D42" w:rsidRDefault="00E1051B" w:rsidP="00126946">
      <w:pPr>
        <w:pStyle w:val="ListParagraph"/>
        <w:numPr>
          <w:ilvl w:val="0"/>
          <w:numId w:val="29"/>
        </w:numPr>
        <w:jc w:val="both"/>
      </w:pPr>
      <w:r>
        <w:t>Aider la CVR à asseoir les capacités de plaidoyer,  d’investigations  et de construction des bases durables de la réconciliation et de la négociation d’un nouveau contrat social et de cohésion.</w:t>
      </w:r>
    </w:p>
    <w:p w14:paraId="203F7303" w:rsidR="004B0C4B" w:rsidRPr="00D373F4" w:rsidRDefault="004B0C4B" w:rsidP="00126946">
      <w:pPr>
        <w:pStyle w:val="ListParagraph"/>
        <w:jc w:val="both"/>
      </w:pPr>
    </w:p>
    <w:p w14:paraId="53CA69D2" w:rsidR="0086361D" w:rsidRPr="00C15BF5" w:rsidRDefault="0086361D" w:rsidP="00126946">
      <w:pPr>
        <w:pStyle w:val="ListParagraph"/>
        <w:numPr>
          <w:ilvl w:val="0"/>
          <w:numId w:val="12"/>
        </w:numPr>
        <w:jc w:val="both"/>
        <w:rPr>
          <w:b/>
        </w:rPr>
      </w:pPr>
      <w:r w:rsidRPr="00C15BF5">
        <w:rPr>
          <w:b/>
        </w:rPr>
        <w:lastRenderedPageBreak/>
        <w:t>PRINCIPAUX RESULTATS ATTENDUS</w:t>
      </w:r>
    </w:p>
    <w:p w14:paraId="2B298EE5" w:rsidR="0086361D" w:rsidRPr="00126946" w:rsidRDefault="0086361D" w:rsidP="00126946">
      <w:pPr>
        <w:jc w:val="both"/>
        <w:rPr>
          <w:b/>
          <w:i/>
        </w:rPr>
      </w:pPr>
      <w:r w:rsidRPr="00126946">
        <w:rPr>
          <w:b/>
        </w:rPr>
        <w:t xml:space="preserve">Résultat 1. </w:t>
      </w:r>
      <w:r w:rsidR="00A9292F" w:rsidRPr="00126946">
        <w:rPr>
          <w:b/>
          <w:i/>
        </w:rPr>
        <w:t>L</w:t>
      </w:r>
      <w:r w:rsidR="00E1051B" w:rsidRPr="00126946">
        <w:rPr>
          <w:b/>
          <w:i/>
        </w:rPr>
        <w:t xml:space="preserve">es </w:t>
      </w:r>
      <w:r w:rsidR="00D46A85" w:rsidRPr="00126946">
        <w:rPr>
          <w:b/>
          <w:i/>
        </w:rPr>
        <w:t xml:space="preserve"> plan</w:t>
      </w:r>
      <w:r w:rsidR="00E1051B" w:rsidRPr="00126946">
        <w:rPr>
          <w:b/>
          <w:i/>
        </w:rPr>
        <w:t>s</w:t>
      </w:r>
      <w:r w:rsidR="00D46A85" w:rsidRPr="00126946">
        <w:rPr>
          <w:b/>
          <w:i/>
        </w:rPr>
        <w:t xml:space="preserve"> stratégique </w:t>
      </w:r>
      <w:r w:rsidR="00E1051B" w:rsidRPr="00126946">
        <w:rPr>
          <w:b/>
          <w:i/>
        </w:rPr>
        <w:t xml:space="preserve">et opérationnel (2016) </w:t>
      </w:r>
      <w:r w:rsidR="00D46A85" w:rsidRPr="00126946">
        <w:rPr>
          <w:b/>
          <w:i/>
        </w:rPr>
        <w:t xml:space="preserve">de la CVR </w:t>
      </w:r>
      <w:r w:rsidR="00A9292F" w:rsidRPr="00126946">
        <w:rPr>
          <w:b/>
          <w:i/>
        </w:rPr>
        <w:t>sont mis en œuvre</w:t>
      </w:r>
    </w:p>
    <w:p w14:paraId="0289842F" w:rsidR="00C15BF5" w:rsidRPr="00C15BF5" w:rsidRDefault="00C15BF5" w:rsidP="00126946">
      <w:pPr>
        <w:jc w:val="both"/>
      </w:pPr>
      <w:r w:rsidRPr="00C15BF5">
        <w:t>Activités indicatives :</w:t>
      </w:r>
    </w:p>
    <w:p w14:paraId="7057AB22" w:rsidR="0086361D" w:rsidRPr="00C15BF5" w:rsidRDefault="00A9292F" w:rsidP="00126946">
      <w:pPr>
        <w:jc w:val="both"/>
      </w:pPr>
      <w:r w:rsidRPr="00C15BF5">
        <w:t xml:space="preserve">Mise en place de l’expertise nationale et internationale nécessaire pour : </w:t>
      </w:r>
    </w:p>
    <w:p w14:paraId="7BD9BEE2" w:rsidR="0086361D" w:rsidRPr="00A9292F" w:rsidRDefault="00A04FD5" w:rsidP="00126946">
      <w:pPr>
        <w:pStyle w:val="ListParagraph"/>
        <w:numPr>
          <w:ilvl w:val="0"/>
          <w:numId w:val="30"/>
        </w:numPr>
        <w:jc w:val="both"/>
      </w:pPr>
      <w:r w:rsidRPr="00A9292F">
        <w:t>Organiser un</w:t>
      </w:r>
      <w:r w:rsidR="0086361D" w:rsidRPr="00A9292F">
        <w:t xml:space="preserve"> colloque International sur la justice transitionnelle</w:t>
      </w:r>
      <w:r w:rsidR="00D46A85" w:rsidRPr="00A9292F">
        <w:t xml:space="preserve"> au niveau de la Région des Grands Lacs</w:t>
      </w:r>
      <w:r w:rsidR="00126946">
        <w:t xml:space="preserve"> pour favoriser les échanges d’expérience</w:t>
      </w:r>
    </w:p>
    <w:p w14:paraId="6E600A29" w:rsidR="005352E1" w:rsidRPr="00A9292F" w:rsidRDefault="005352E1" w:rsidP="00126946">
      <w:pPr>
        <w:pStyle w:val="ListParagraph"/>
        <w:numPr>
          <w:ilvl w:val="0"/>
          <w:numId w:val="30"/>
        </w:numPr>
        <w:jc w:val="both"/>
      </w:pPr>
      <w:r w:rsidRPr="00A9292F">
        <w:t>Apporter un appui technique dans la conduite des investigations initiées par la CVR y compris les auditions des victimes et témoins</w:t>
      </w:r>
    </w:p>
    <w:p w14:paraId="472D9C12" w:rsidR="00726389" w:rsidRPr="00A9292F" w:rsidRDefault="00726389" w:rsidP="00126946">
      <w:pPr>
        <w:pStyle w:val="ListParagraph"/>
        <w:numPr>
          <w:ilvl w:val="0"/>
          <w:numId w:val="30"/>
        </w:numPr>
        <w:jc w:val="both"/>
      </w:pPr>
      <w:r w:rsidRPr="00A9292F">
        <w:t xml:space="preserve">Appuyer les activités de renforcement des capacités </w:t>
      </w:r>
      <w:r w:rsidR="001679CF" w:rsidRPr="00A9292F">
        <w:t xml:space="preserve">des Commissaires, </w:t>
      </w:r>
      <w:r w:rsidRPr="00A9292F">
        <w:t xml:space="preserve">des </w:t>
      </w:r>
      <w:r w:rsidR="006144DC" w:rsidRPr="00A9292F">
        <w:t>agents et</w:t>
      </w:r>
      <w:r w:rsidR="001679CF" w:rsidRPr="00A9292F">
        <w:t xml:space="preserve"> du </w:t>
      </w:r>
      <w:r w:rsidR="006144DC" w:rsidRPr="00A9292F">
        <w:t xml:space="preserve"> personnel de la CVR pour l’accomplissement de leurs tâches</w:t>
      </w:r>
      <w:r w:rsidR="001679CF" w:rsidRPr="00A9292F">
        <w:t xml:space="preserve"> (échanges  d’expériences ; mise en réseau ; </w:t>
      </w:r>
      <w:proofErr w:type="spellStart"/>
      <w:r w:rsidR="001679CF" w:rsidRPr="00A9292F">
        <w:t>etc</w:t>
      </w:r>
      <w:proofErr w:type="spellEnd"/>
      <w:r w:rsidR="001679CF" w:rsidRPr="00A9292F">
        <w:t>)</w:t>
      </w:r>
    </w:p>
    <w:p w14:paraId="313B8714" w:rsidR="006144DC" w:rsidRPr="00A9292F" w:rsidRDefault="006144DC" w:rsidP="00126946">
      <w:pPr>
        <w:pStyle w:val="ListParagraph"/>
        <w:numPr>
          <w:ilvl w:val="0"/>
          <w:numId w:val="30"/>
        </w:numPr>
        <w:jc w:val="both"/>
      </w:pPr>
      <w:r w:rsidRPr="00A9292F">
        <w:t>Apporter un appui technique et opérationnel à la CVR dans l’accomplissement de ses missions.</w:t>
      </w:r>
    </w:p>
    <w:p w14:paraId="54CC6C9C" w:rsidR="0086361D" w:rsidRPr="00126946" w:rsidRDefault="0086361D" w:rsidP="00126946">
      <w:pPr>
        <w:jc w:val="both"/>
        <w:rPr>
          <w:b/>
          <w:i/>
        </w:rPr>
      </w:pPr>
      <w:r w:rsidRPr="00126946">
        <w:rPr>
          <w:b/>
        </w:rPr>
        <w:t xml:space="preserve">Résultat 2. </w:t>
      </w:r>
      <w:r w:rsidRPr="00126946">
        <w:rPr>
          <w:b/>
          <w:i/>
        </w:rPr>
        <w:t>Le niveau d’acceptation et de confiance du public au processus de réconciliation nationale conduit par la CVR est accru.</w:t>
      </w:r>
    </w:p>
    <w:p w14:paraId="35940126" w:rsidR="0086361D" w:rsidRDefault="009E1860" w:rsidP="00126946">
      <w:pPr>
        <w:jc w:val="both"/>
      </w:pPr>
      <w:r>
        <w:t>Activités indicatives</w:t>
      </w:r>
      <w:r w:rsidR="0086361D">
        <w:t xml:space="preserve"> :</w:t>
      </w:r>
    </w:p>
    <w:p w14:paraId="621642C6" w:rsidR="0086361D" w:rsidRDefault="00C15BF5" w:rsidP="00126946">
      <w:pPr>
        <w:pStyle w:val="ListParagraph"/>
        <w:numPr>
          <w:ilvl w:val="0"/>
          <w:numId w:val="31"/>
        </w:numPr>
        <w:jc w:val="both"/>
      </w:pPr>
      <w:r w:rsidRPr="00C15BF5">
        <w:t>Appuyer la sensibilisation au niveau des provinces sur les missions de la CVR</w:t>
      </w:r>
      <w:r>
        <w:t xml:space="preserve"> : </w:t>
      </w:r>
      <w:r w:rsidR="0086361D">
        <w:t>Former les animateurs</w:t>
      </w:r>
      <w:r w:rsidR="005352E1">
        <w:t>/</w:t>
      </w:r>
      <w:r w:rsidR="001679CF">
        <w:t xml:space="preserve"> </w:t>
      </w:r>
      <w:r w:rsidR="005352E1">
        <w:t>sensibilisat</w:t>
      </w:r>
      <w:r w:rsidR="001679CF">
        <w:t xml:space="preserve">eurs </w:t>
      </w:r>
      <w:r w:rsidR="005352E1">
        <w:t xml:space="preserve"> dans chaque commune sur le</w:t>
      </w:r>
      <w:r w:rsidR="001679CF">
        <w:t>s missions de la CRV</w:t>
      </w:r>
      <w:r w:rsidR="005352E1">
        <w:t xml:space="preserve">  et le rôle des communautés locales </w:t>
      </w:r>
      <w:r w:rsidR="0086361D">
        <w:t xml:space="preserve"> </w:t>
      </w:r>
      <w:r w:rsidR="001679CF">
        <w:t>dans les processus de dialogue et de réconciliation.</w:t>
      </w:r>
    </w:p>
    <w:p w14:paraId="768A6687" w:rsidR="00C15BF5" w:rsidRDefault="00C15BF5" w:rsidP="00126946">
      <w:pPr>
        <w:pStyle w:val="ListParagraph"/>
        <w:numPr>
          <w:ilvl w:val="0"/>
          <w:numId w:val="31"/>
        </w:numPr>
        <w:jc w:val="both"/>
      </w:pPr>
      <w:r>
        <w:t>Appuyer l’élaboration d’une note d’information sur la méthodologique et l’action de la CVR sur l’étendue du territoire national</w:t>
      </w:r>
    </w:p>
    <w:p w14:paraId="57FFCDC0" w:rsidR="0086361D" w:rsidRDefault="0086361D" w:rsidP="00126946">
      <w:pPr>
        <w:pStyle w:val="ListParagraph"/>
        <w:numPr>
          <w:ilvl w:val="0"/>
          <w:numId w:val="31"/>
        </w:numPr>
        <w:jc w:val="both"/>
      </w:pPr>
      <w:r>
        <w:t>Produire le Kit de sensibilisation de la population sur la CVR</w:t>
      </w:r>
    </w:p>
    <w:p w14:paraId="0DE1BEEE" w:rsidR="0086361D" w:rsidRDefault="0086361D" w:rsidP="00126946">
      <w:pPr>
        <w:pStyle w:val="ListParagraph"/>
        <w:numPr>
          <w:ilvl w:val="0"/>
          <w:numId w:val="31"/>
        </w:numPr>
        <w:jc w:val="both"/>
      </w:pPr>
      <w:r>
        <w:t>Organiser des campagnes média/ conférence de presse et autres…</w:t>
      </w:r>
    </w:p>
    <w:p w14:paraId="44D43ECB" w:rsidR="00A9292F" w:rsidRDefault="0086361D" w:rsidP="00126946">
      <w:pPr>
        <w:pStyle w:val="ListParagraph"/>
        <w:numPr>
          <w:ilvl w:val="0"/>
          <w:numId w:val="31"/>
        </w:numPr>
        <w:jc w:val="both"/>
      </w:pPr>
      <w:r>
        <w:t>Organiser les consultations nationales</w:t>
      </w:r>
      <w:r w:rsidR="005352E1">
        <w:t xml:space="preserve">, des  études de sondage pour saisir les perceptions des populations sur le mécanisme de justice transitionnelle </w:t>
      </w:r>
    </w:p>
    <w:p w14:paraId="453888C5" w:rsidR="00BF4571" w:rsidRPr="00126946" w:rsidRDefault="00972F8C" w:rsidP="00126946">
      <w:pPr>
        <w:jc w:val="both"/>
        <w:rPr>
          <w:b/>
        </w:rPr>
      </w:pPr>
      <w:r w:rsidRPr="00126946">
        <w:rPr>
          <w:b/>
        </w:rPr>
        <w:t>Résultat</w:t>
      </w:r>
      <w:r w:rsidR="00A9292F" w:rsidRPr="00126946">
        <w:rPr>
          <w:b/>
        </w:rPr>
        <w:t xml:space="preserve"> 3 :</w:t>
      </w:r>
      <w:r w:rsidRPr="00126946">
        <w:rPr>
          <w:b/>
        </w:rPr>
        <w:t xml:space="preserve"> </w:t>
      </w:r>
      <w:r w:rsidRPr="00126946">
        <w:rPr>
          <w:b/>
          <w:i/>
        </w:rPr>
        <w:t>L</w:t>
      </w:r>
      <w:r w:rsidR="00A9292F" w:rsidRPr="00126946">
        <w:rPr>
          <w:b/>
          <w:i/>
        </w:rPr>
        <w:t xml:space="preserve">a mise en place d’un dispositif de suivi et </w:t>
      </w:r>
      <w:r w:rsidRPr="00126946">
        <w:rPr>
          <w:b/>
          <w:i/>
        </w:rPr>
        <w:t>évaluation</w:t>
      </w:r>
      <w:r w:rsidR="00BF4571" w:rsidRPr="00126946">
        <w:rPr>
          <w:b/>
          <w:i/>
        </w:rPr>
        <w:t xml:space="preserve"> participatifs </w:t>
      </w:r>
      <w:r w:rsidR="00A9292F" w:rsidRPr="00126946">
        <w:rPr>
          <w:b/>
          <w:i/>
        </w:rPr>
        <w:t xml:space="preserve"> des</w:t>
      </w:r>
      <w:r w:rsidR="00BF4571" w:rsidRPr="00126946">
        <w:rPr>
          <w:b/>
          <w:i/>
        </w:rPr>
        <w:t xml:space="preserve"> </w:t>
      </w:r>
      <w:r w:rsidRPr="00126946">
        <w:rPr>
          <w:b/>
          <w:i/>
        </w:rPr>
        <w:t>progrès</w:t>
      </w:r>
      <w:r w:rsidR="00BF4571" w:rsidRPr="00126946">
        <w:rPr>
          <w:b/>
          <w:i/>
        </w:rPr>
        <w:t xml:space="preserve"> vers les </w:t>
      </w:r>
      <w:r w:rsidRPr="00126946">
        <w:rPr>
          <w:b/>
          <w:i/>
        </w:rPr>
        <w:t xml:space="preserve">résultats </w:t>
      </w:r>
      <w:r w:rsidR="00BF4571" w:rsidRPr="00126946">
        <w:rPr>
          <w:b/>
          <w:i/>
        </w:rPr>
        <w:t>attendus de la CVR</w:t>
      </w:r>
      <w:r w:rsidRPr="00126946">
        <w:rPr>
          <w:b/>
          <w:i/>
        </w:rPr>
        <w:t xml:space="preserve"> est effective</w:t>
      </w:r>
    </w:p>
    <w:p w14:paraId="6D4ADD48" w:rsidR="00972F8C" w:rsidRDefault="00126946" w:rsidP="00126946">
      <w:pPr>
        <w:jc w:val="both"/>
      </w:pPr>
      <w:r>
        <w:t>Activités indicatives</w:t>
      </w:r>
      <w:r w:rsidR="00972F8C">
        <w:t> :</w:t>
      </w:r>
    </w:p>
    <w:p w14:paraId="679461B4" w:rsidR="00972F8C" w:rsidRDefault="00972F8C" w:rsidP="00126946">
      <w:pPr>
        <w:pStyle w:val="ListParagraph"/>
        <w:numPr>
          <w:ilvl w:val="0"/>
          <w:numId w:val="32"/>
        </w:numPr>
        <w:spacing w:line="240" w:lineRule="auto"/>
        <w:jc w:val="both"/>
      </w:pPr>
      <w:r>
        <w:t>Création</w:t>
      </w:r>
      <w:r w:rsidR="00BF4571">
        <w:t xml:space="preserve"> du système de monitoring et reporting : base de </w:t>
      </w:r>
      <w:r>
        <w:t>données</w:t>
      </w:r>
      <w:r w:rsidR="00BF4571">
        <w:t xml:space="preserve"> sur la situation de </w:t>
      </w:r>
      <w:r>
        <w:t>départ</w:t>
      </w:r>
      <w:r w:rsidR="00BF4571">
        <w:t xml:space="preserve"> ; </w:t>
      </w:r>
      <w:r>
        <w:t>détermination</w:t>
      </w:r>
      <w:r w:rsidR="00BF4571">
        <w:t xml:space="preserve"> / adoption de benchmarks et indicateurs ; </w:t>
      </w:r>
      <w:r>
        <w:t>détermination</w:t>
      </w:r>
      <w:r w:rsidR="00BF4571">
        <w:t xml:space="preserve"> des cibles annuelles de </w:t>
      </w:r>
      <w:r>
        <w:t>résultats</w:t>
      </w:r>
    </w:p>
    <w:p w14:paraId="3CD1CEBA" w:rsidR="00972F8C" w:rsidRDefault="00BF4571" w:rsidP="00126946">
      <w:pPr>
        <w:pStyle w:val="ListParagraph"/>
        <w:numPr>
          <w:ilvl w:val="0"/>
          <w:numId w:val="32"/>
        </w:numPr>
        <w:spacing w:line="240" w:lineRule="auto"/>
        <w:jc w:val="both"/>
      </w:pPr>
      <w:r>
        <w:t xml:space="preserve">Mise en place du </w:t>
      </w:r>
      <w:r w:rsidR="00972F8C">
        <w:t>mécanisme</w:t>
      </w:r>
      <w:r>
        <w:t xml:space="preserve"> conjoint de concertation, de conseils  et orientation CVR et partenaires du gouvernement, de la </w:t>
      </w:r>
      <w:r w:rsidR="00972F8C">
        <w:t>société</w:t>
      </w:r>
      <w:r>
        <w:t xml:space="preserve"> civile, des partenaires techniques et financiers</w:t>
      </w:r>
      <w:r w:rsidR="00A9292F">
        <w:t xml:space="preserve"> </w:t>
      </w:r>
    </w:p>
    <w:p w14:paraId="683BE252" w:rsidR="00972F8C" w:rsidRDefault="00972F8C" w:rsidP="00126946">
      <w:pPr>
        <w:pStyle w:val="ListParagraph"/>
        <w:numPr>
          <w:ilvl w:val="0"/>
          <w:numId w:val="32"/>
        </w:numPr>
        <w:spacing w:line="240" w:lineRule="auto"/>
        <w:jc w:val="both"/>
      </w:pPr>
      <w:r>
        <w:t>Déterminer les types et les périodes d’évaluation conjointe et participative  du processus</w:t>
      </w:r>
    </w:p>
    <w:p w14:paraId="6BEC205C" w:rsidR="00972F8C" w:rsidRPr="00126946" w:rsidRDefault="00972F8C" w:rsidP="00126946">
      <w:pPr>
        <w:jc w:val="both"/>
        <w:rPr>
          <w:b/>
        </w:rPr>
      </w:pPr>
      <w:r w:rsidRPr="00126946">
        <w:rPr>
          <w:b/>
        </w:rPr>
        <w:t>Résultat</w:t>
      </w:r>
      <w:r w:rsidR="00A054D9" w:rsidRPr="00126946">
        <w:rPr>
          <w:b/>
        </w:rPr>
        <w:t xml:space="preserve"> 4</w:t>
      </w:r>
      <w:r w:rsidRPr="00126946">
        <w:rPr>
          <w:b/>
        </w:rPr>
        <w:t xml:space="preserve"> : </w:t>
      </w:r>
      <w:r w:rsidR="00F22A4F" w:rsidRPr="00126946">
        <w:rPr>
          <w:b/>
          <w:i/>
        </w:rPr>
        <w:t>Les Victimes et les témoins sont accompagnés et participent au processus CVR en connaissance de cause</w:t>
      </w:r>
    </w:p>
    <w:p w14:paraId="04576E60" w:rsidR="00F22A4F" w:rsidRDefault="00F22A4F" w:rsidP="00126946">
      <w:pPr>
        <w:jc w:val="both"/>
      </w:pPr>
      <w:r>
        <w:t xml:space="preserve">Activités </w:t>
      </w:r>
      <w:r w:rsidR="009E1860">
        <w:t>indicatives</w:t>
      </w:r>
      <w:r>
        <w:t>:</w:t>
      </w:r>
    </w:p>
    <w:p w14:paraId="6B501662" w:rsidR="00F22A4F" w:rsidRDefault="00F22A4F" w:rsidP="00962360">
      <w:pPr>
        <w:pStyle w:val="ListParagraph"/>
        <w:numPr>
          <w:ilvl w:val="0"/>
          <w:numId w:val="33"/>
        </w:numPr>
        <w:jc w:val="both"/>
      </w:pPr>
      <w:r>
        <w:t>Renforcement des capacités des OSC/ CSO nationales pour accompagner / aider les victimes et les témoins aux choix de participation a la CVR</w:t>
      </w:r>
    </w:p>
    <w:p w14:paraId="66B88ACF" w:rsidR="00D373F4" w:rsidRDefault="00F22A4F" w:rsidP="00962360">
      <w:pPr>
        <w:pStyle w:val="ListParagraph"/>
        <w:numPr>
          <w:ilvl w:val="0"/>
          <w:numId w:val="33"/>
        </w:numPr>
        <w:jc w:val="both"/>
      </w:pPr>
      <w:r>
        <w:t>Négocier et mettre en place les ressources nécessaires pour un accompagnement de long terme</w:t>
      </w:r>
    </w:p>
    <w:p w14:paraId="27389C1A" w:rsidR="00005DAB" w:rsidRPr="009E1860" w:rsidRDefault="0086361D" w:rsidP="00126946">
      <w:pPr>
        <w:jc w:val="both"/>
        <w:rPr>
          <w:rFonts w:eastAsia="Times New Roman" w:cstheme="minorHAnsi"/>
          <w:b/>
        </w:rPr>
      </w:pPr>
      <w:r w:rsidRPr="009E1860">
        <w:rPr>
          <w:b/>
        </w:rPr>
        <w:t xml:space="preserve">Résultat </w:t>
      </w:r>
      <w:r w:rsidR="00A054D9" w:rsidRPr="009E1860">
        <w:rPr>
          <w:b/>
        </w:rPr>
        <w:t>5</w:t>
      </w:r>
      <w:r w:rsidR="00972F8C" w:rsidRPr="009E1860">
        <w:rPr>
          <w:b/>
        </w:rPr>
        <w:t xml:space="preserve"> : </w:t>
      </w:r>
      <w:r w:rsidR="00972F8C" w:rsidRPr="009E1860">
        <w:rPr>
          <w:rFonts w:eastAsia="Times New Roman" w:cstheme="minorHAnsi"/>
          <w:b/>
          <w:i/>
        </w:rPr>
        <w:t>U</w:t>
      </w:r>
      <w:r w:rsidR="00005DAB" w:rsidRPr="009E1860">
        <w:rPr>
          <w:rFonts w:eastAsia="Times New Roman" w:cstheme="minorHAnsi"/>
          <w:b/>
          <w:i/>
        </w:rPr>
        <w:t>n programme d’actions visant à promouvoir le pardon, la réconciliation et la non répétition</w:t>
      </w:r>
      <w:r w:rsidR="001679CF" w:rsidRPr="009E1860">
        <w:rPr>
          <w:rFonts w:eastAsia="Times New Roman" w:cstheme="minorHAnsi"/>
          <w:b/>
          <w:i/>
        </w:rPr>
        <w:t>, la cohésion sociale</w:t>
      </w:r>
      <w:r w:rsidR="00972F8C" w:rsidRPr="009E1860">
        <w:rPr>
          <w:rFonts w:eastAsia="Times New Roman" w:cstheme="minorHAnsi"/>
          <w:b/>
          <w:i/>
        </w:rPr>
        <w:t xml:space="preserve"> est élaboré et opérationnel</w:t>
      </w:r>
    </w:p>
    <w:p w14:paraId="27CE6DA6" w:rsidR="000417C7" w:rsidRDefault="009E1860" w:rsidP="00126946">
      <w:pPr>
        <w:jc w:val="both"/>
      </w:pPr>
      <w:r>
        <w:t>Activités indicatives</w:t>
      </w:r>
      <w:r w:rsidR="0086361D">
        <w:t xml:space="preserve"> :</w:t>
      </w:r>
    </w:p>
    <w:p w14:paraId="034BDFC7" w:rsidR="000417C7" w:rsidRDefault="005C7910" w:rsidP="00962360">
      <w:pPr>
        <w:pStyle w:val="ListParagraph"/>
        <w:numPr>
          <w:ilvl w:val="0"/>
          <w:numId w:val="34"/>
        </w:numPr>
        <w:jc w:val="both"/>
      </w:pPr>
      <w:r>
        <w:t>T</w:t>
      </w:r>
      <w:r w:rsidR="000417C7">
        <w:t xml:space="preserve">enue des audiences </w:t>
      </w:r>
      <w:r w:rsidR="007E1F9E">
        <w:t xml:space="preserve"> de  </w:t>
      </w:r>
      <w:r w:rsidR="000417C7">
        <w:t xml:space="preserve"> la CVR</w:t>
      </w:r>
      <w:r w:rsidR="007E1F9E">
        <w:t xml:space="preserve">  sur l’ensemble du territoire  Burundais</w:t>
      </w:r>
    </w:p>
    <w:p w14:paraId="4A034A63" w:rsidR="00D373F4" w:rsidRDefault="005C7910" w:rsidP="00962360">
      <w:pPr>
        <w:pStyle w:val="ListParagraph"/>
        <w:numPr>
          <w:ilvl w:val="0"/>
          <w:numId w:val="34"/>
        </w:numPr>
        <w:jc w:val="both"/>
      </w:pPr>
      <w:r>
        <w:lastRenderedPageBreak/>
        <w:t>Mise en pratique</w:t>
      </w:r>
      <w:r w:rsidR="00586C21">
        <w:t xml:space="preserve"> des</w:t>
      </w:r>
      <w:r w:rsidR="00C73C8A">
        <w:t xml:space="preserve"> mécanismes non judiciaires</w:t>
      </w:r>
      <w:r w:rsidR="00D373F4">
        <w:t xml:space="preserve"> mis en place par la CVR</w:t>
      </w:r>
    </w:p>
    <w:p w14:paraId="791BB0D7" w:rsidR="005352E1" w:rsidRDefault="005C7910" w:rsidP="00962360">
      <w:pPr>
        <w:pStyle w:val="ListParagraph"/>
        <w:numPr>
          <w:ilvl w:val="0"/>
          <w:numId w:val="34"/>
        </w:numPr>
        <w:jc w:val="both"/>
      </w:pPr>
      <w:r>
        <w:t>Plaidoyer er négociation des bases de la réconciliation et d’une nouvelle cohésion sociale.</w:t>
      </w:r>
    </w:p>
    <w:p w14:paraId="7D27A905" w:rsidR="00126946" w:rsidRDefault="00126946" w:rsidP="00126946">
      <w:pPr>
        <w:pStyle w:val="ListParagraph"/>
        <w:jc w:val="both"/>
      </w:pPr>
    </w:p>
    <w:p w14:paraId="49AB06DA" w:rsidR="0086361D" w:rsidRPr="00126946" w:rsidRDefault="0086361D" w:rsidP="00126946">
      <w:pPr>
        <w:pStyle w:val="ListParagraph"/>
        <w:numPr>
          <w:ilvl w:val="0"/>
          <w:numId w:val="12"/>
        </w:numPr>
        <w:jc w:val="both"/>
        <w:rPr>
          <w:b/>
        </w:rPr>
      </w:pPr>
      <w:r w:rsidRPr="00126946">
        <w:rPr>
          <w:b/>
        </w:rPr>
        <w:t xml:space="preserve">Projet </w:t>
      </w:r>
      <w:r w:rsidR="00F22A4F" w:rsidRPr="00126946">
        <w:rPr>
          <w:b/>
        </w:rPr>
        <w:t xml:space="preserve">conjoint d’appui </w:t>
      </w:r>
      <w:r w:rsidR="00080861" w:rsidRPr="00126946">
        <w:rPr>
          <w:b/>
        </w:rPr>
        <w:t>à</w:t>
      </w:r>
      <w:r w:rsidR="00F22A4F" w:rsidRPr="00126946">
        <w:rPr>
          <w:b/>
        </w:rPr>
        <w:t xml:space="preserve"> la CVR et </w:t>
      </w:r>
      <w:r w:rsidR="00080861" w:rsidRPr="00126946">
        <w:rPr>
          <w:b/>
        </w:rPr>
        <w:t>modalité</w:t>
      </w:r>
      <w:r w:rsidR="00F22A4F" w:rsidRPr="00126946">
        <w:rPr>
          <w:b/>
        </w:rPr>
        <w:t xml:space="preserve"> de participation du PNUD</w:t>
      </w:r>
    </w:p>
    <w:p w14:paraId="00A20A03" w:rsidR="0086361D" w:rsidRDefault="00A565BD" w:rsidP="00126946">
      <w:pPr>
        <w:jc w:val="both"/>
      </w:pPr>
      <w:r>
        <w:t xml:space="preserve">Le projet d’Appui </w:t>
      </w:r>
      <w:r w:rsidR="00080861">
        <w:t>à</w:t>
      </w:r>
      <w:r>
        <w:t xml:space="preserve"> la CVR </w:t>
      </w:r>
      <w:r w:rsidR="00322660">
        <w:t xml:space="preserve"> s’inscrit dans le cadre de la mise en œuvre de la Résolution 2248 du Conseil de Sécurité</w:t>
      </w:r>
      <w:r>
        <w:t xml:space="preserve">. Il s’inscrit </w:t>
      </w:r>
      <w:r w:rsidR="00322660">
        <w:t xml:space="preserve"> </w:t>
      </w:r>
      <w:r>
        <w:t xml:space="preserve">par ailleurs dans la dynamique de renforcement du partenariat NU – UNCT par le développement d’initiatives conjointes et / ou </w:t>
      </w:r>
      <w:r w:rsidR="0086361D">
        <w:t>complémentaire</w:t>
      </w:r>
      <w:r>
        <w:t>s</w:t>
      </w:r>
      <w:r w:rsidR="00322660">
        <w:t>, e</w:t>
      </w:r>
      <w:r>
        <w:t>n l’occurrence avec</w:t>
      </w:r>
      <w:r w:rsidR="0086361D">
        <w:t xml:space="preserve"> </w:t>
      </w:r>
      <w:r w:rsidR="00322660">
        <w:t xml:space="preserve"> </w:t>
      </w:r>
      <w:r w:rsidR="0086361D">
        <w:t xml:space="preserve">l’Office du Haut-Commissariat des Nations-Unies aux </w:t>
      </w:r>
      <w:r>
        <w:t>D</w:t>
      </w:r>
      <w:r w:rsidR="0086361D">
        <w:t>roits de l’</w:t>
      </w:r>
      <w:r>
        <w:t>H</w:t>
      </w:r>
      <w:r w:rsidR="0086361D">
        <w:t>omme</w:t>
      </w:r>
      <w:r>
        <w:t>,</w:t>
      </w:r>
      <w:r w:rsidR="00322660">
        <w:t xml:space="preserve"> la </w:t>
      </w:r>
      <w:r>
        <w:t>France, les USA, les Pays - Bas</w:t>
      </w:r>
      <w:r w:rsidR="0086361D">
        <w:t xml:space="preserve">. Il pourra également assurer les synergies nécessaires et complémentarité avec d’autres </w:t>
      </w:r>
      <w:r>
        <w:t xml:space="preserve">partenaires (Bureau du Conseiller </w:t>
      </w:r>
      <w:r w:rsidR="00080861">
        <w:t>Spécial</w:t>
      </w:r>
      <w:r>
        <w:t xml:space="preserve"> du SG sur la </w:t>
      </w:r>
      <w:r w:rsidR="00080861">
        <w:t>Prévention</w:t>
      </w:r>
      <w:r>
        <w:t xml:space="preserve"> des Conflits ; OCHA) </w:t>
      </w:r>
      <w:r w:rsidR="00080861">
        <w:t xml:space="preserve">ou </w:t>
      </w:r>
      <w:r w:rsidR="0086361D">
        <w:t xml:space="preserve">projets </w:t>
      </w:r>
      <w:r w:rsidR="00080861">
        <w:t xml:space="preserve">d’appui </w:t>
      </w:r>
      <w:r w:rsidR="0086361D">
        <w:t>existants</w:t>
      </w:r>
      <w:r w:rsidR="00080861">
        <w:t>.</w:t>
      </w:r>
    </w:p>
    <w:p w14:paraId="0F933E77" w:rsidR="00471F5B" w:rsidRDefault="00471F5B" w:rsidP="00126946">
      <w:pPr>
        <w:jc w:val="both"/>
      </w:pPr>
      <w:r>
        <w:t xml:space="preserve">L’option privilégiée est le développement d’un projet conjoint regroupant les partenaires </w:t>
      </w:r>
      <w:r w:rsidR="00126946">
        <w:t>intéressé</w:t>
      </w:r>
      <w:r>
        <w:t xml:space="preserve">s de la CVR. Les participations pourraient se faire selon différentes modalités au choix de chaque intervenant : financement parallèle, ou pass – through. Il est cependant important d’opter pour un cadre unique de programmation et de suivi des activités, soutenu par un Fonds commun (basket – </w:t>
      </w:r>
      <w:proofErr w:type="spellStart"/>
      <w:r>
        <w:t>fund</w:t>
      </w:r>
      <w:proofErr w:type="spellEnd"/>
      <w:r>
        <w:t>) auquel chacun pourraient contribuer selon la modalité choisie.</w:t>
      </w:r>
    </w:p>
    <w:p w14:paraId="0DC90080" w:rsidR="00471F5B" w:rsidRDefault="00471F5B" w:rsidP="00126946">
      <w:pPr>
        <w:jc w:val="both"/>
      </w:pPr>
      <w:r>
        <w:t>Le PNUD offre ses services</w:t>
      </w:r>
      <w:r w:rsidR="00A054D9">
        <w:t>, en appui à la CVR,</w:t>
      </w:r>
      <w:r>
        <w:t xml:space="preserve"> </w:t>
      </w:r>
      <w:r w:rsidR="00A054D9">
        <w:t xml:space="preserve">pour faciliter la mise en commun des contributions, leur gestion et le reporting financier et de substance selon les modalités classique pratiques par l’organisation en pareille circonstance (soit des frais de prestation de 8%). En retour, le PNUD s’engage </w:t>
      </w:r>
      <w:proofErr w:type="gramStart"/>
      <w:r w:rsidR="00A054D9">
        <w:t>a</w:t>
      </w:r>
      <w:proofErr w:type="gramEnd"/>
      <w:r w:rsidR="00A054D9">
        <w:t xml:space="preserve"> réaliser le renforcement des capacités de la CVR, et celui des CSO / OSC.</w:t>
      </w:r>
    </w:p>
    <w:p w14:paraId="7F88A742" w:rsidR="0086361D" w:rsidRDefault="00A054D9" w:rsidP="00126946">
      <w:pPr>
        <w:jc w:val="both"/>
      </w:pPr>
      <w:r>
        <w:t xml:space="preserve">A l’interne, la contribution du PNUD </w:t>
      </w:r>
      <w:r w:rsidR="00080861">
        <w:t>au projet</w:t>
      </w:r>
      <w:r>
        <w:t xml:space="preserve"> conjoint sera inscrite</w:t>
      </w:r>
      <w:r w:rsidR="00080861">
        <w:t xml:space="preserve"> dans le domaine d</w:t>
      </w:r>
      <w:r>
        <w:t>e son appui a la consolidation</w:t>
      </w:r>
      <w:r w:rsidR="00080861">
        <w:t xml:space="preserve"> de l’Etat de Droit</w:t>
      </w:r>
      <w:r>
        <w:t xml:space="preserve"> au Burundi, </w:t>
      </w:r>
      <w:r w:rsidR="00080861">
        <w:t xml:space="preserve">singulièrement dans l’appui à la promotion de la bonne gouvernance, le renforcement de l’Etat de Droit et la consolidation de la Paix afin de maximiser l'impact des différentes interventions, assurer la cohérence des projets dans la mise en œuvre et le suivi et l'évaluation ainsi que la rationalisation des ressources pour la gestion de projet. </w:t>
      </w:r>
      <w:r w:rsidR="003B19F8">
        <w:t>Dans la mesure du possible, l’interve</w:t>
      </w:r>
      <w:r w:rsidR="00380976">
        <w:t>n</w:t>
      </w:r>
      <w:r w:rsidR="003B19F8">
        <w:t>tion du PNUD</w:t>
      </w:r>
      <w:r>
        <w:t xml:space="preserve"> sera </w:t>
      </w:r>
      <w:r w:rsidR="00380976">
        <w:t>centrée</w:t>
      </w:r>
      <w:r>
        <w:t xml:space="preserve"> </w:t>
      </w:r>
      <w:r w:rsidR="003B19F8">
        <w:t xml:space="preserve">cette </w:t>
      </w:r>
      <w:r w:rsidR="00380976">
        <w:t>année</w:t>
      </w:r>
      <w:r w:rsidR="003B19F8">
        <w:t xml:space="preserve"> </w:t>
      </w:r>
      <w:r>
        <w:t xml:space="preserve">sur les </w:t>
      </w:r>
      <w:r w:rsidR="00380976">
        <w:t>résultats</w:t>
      </w:r>
      <w:r w:rsidR="003B19F8">
        <w:t xml:space="preserve"> 1, 2 et 4</w:t>
      </w:r>
      <w:r w:rsidR="0086361D">
        <w:t xml:space="preserve"> du pro</w:t>
      </w:r>
      <w:r w:rsidR="003B19F8">
        <w:t xml:space="preserve">jet conjoint, et </w:t>
      </w:r>
      <w:r w:rsidR="00322660">
        <w:t xml:space="preserve">sera </w:t>
      </w:r>
      <w:r w:rsidR="0086361D">
        <w:t xml:space="preserve"> mis</w:t>
      </w:r>
      <w:r w:rsidR="00322660">
        <w:t>e</w:t>
      </w:r>
      <w:r w:rsidR="0086361D">
        <w:t xml:space="preserve"> en œuvre par </w:t>
      </w:r>
      <w:r w:rsidR="009E1860">
        <w:t>l’équipe</w:t>
      </w:r>
      <w:r w:rsidR="0086361D">
        <w:t xml:space="preserve"> </w:t>
      </w:r>
      <w:r w:rsidR="00380976">
        <w:t xml:space="preserve">déjà en place </w:t>
      </w:r>
      <w:r w:rsidR="0086361D">
        <w:t>du</w:t>
      </w:r>
      <w:r w:rsidR="00322660">
        <w:t xml:space="preserve"> </w:t>
      </w:r>
      <w:r w:rsidR="0086361D">
        <w:t xml:space="preserve"> pro</w:t>
      </w:r>
      <w:r w:rsidR="00322660">
        <w:t>gramme</w:t>
      </w:r>
      <w:r w:rsidR="0086361D">
        <w:t xml:space="preserve"> </w:t>
      </w:r>
      <w:r w:rsidR="003B19F8">
        <w:t xml:space="preserve">Etat de Droit, </w:t>
      </w:r>
      <w:r w:rsidR="0086361D">
        <w:t xml:space="preserve">en parfaite collaboration  et synergie  avec </w:t>
      </w:r>
      <w:r w:rsidR="003B19F8">
        <w:t xml:space="preserve">les </w:t>
      </w:r>
      <w:r w:rsidR="0086361D">
        <w:t xml:space="preserve">autres partenaires afin d'assurer la cohérence dans les interventions. </w:t>
      </w:r>
      <w:r w:rsidR="0086361D">
        <w:tab/>
      </w:r>
    </w:p>
    <w:p w14:paraId="1BA58475" w:rsidR="0086361D" w:rsidRPr="009E1860" w:rsidRDefault="0086361D" w:rsidP="009E1860">
      <w:pPr>
        <w:pStyle w:val="ListParagraph"/>
        <w:numPr>
          <w:ilvl w:val="0"/>
          <w:numId w:val="12"/>
        </w:numPr>
        <w:jc w:val="both"/>
        <w:rPr>
          <w:b/>
        </w:rPr>
      </w:pPr>
      <w:r w:rsidRPr="009E1860">
        <w:rPr>
          <w:b/>
        </w:rPr>
        <w:t xml:space="preserve">Couverture géographique et bénéficiaires </w:t>
      </w:r>
      <w:r w:rsidR="00695995" w:rsidRPr="009E1860">
        <w:rPr>
          <w:b/>
        </w:rPr>
        <w:t xml:space="preserve">cibles </w:t>
      </w:r>
    </w:p>
    <w:p w14:paraId="72F799FF" w:rsidR="0086361D" w:rsidRPr="009E1860" w:rsidRDefault="0086361D" w:rsidP="00126946">
      <w:pPr>
        <w:jc w:val="both"/>
      </w:pPr>
      <w:r>
        <w:t xml:space="preserve">Le projet sera mis en œuvre </w:t>
      </w:r>
      <w:r w:rsidR="00322660">
        <w:t xml:space="preserve"> sur toute l’étendue du territoire national.</w:t>
      </w:r>
      <w:r w:rsidR="008F0D42">
        <w:t xml:space="preserve"> Les bénéficiaires cibles sont la CRV en tant qu’institution, les communautés au niveau des provinces, les OSC / CSO. Les bénéficiaires finaux de l’assistance sont les victimes et les témoins.</w:t>
      </w:r>
    </w:p>
    <w:p w14:paraId="65CB4196" w:rsidR="0086361D" w:rsidRPr="009E1860" w:rsidRDefault="00695995" w:rsidP="009E1860">
      <w:pPr>
        <w:pStyle w:val="ListParagraph"/>
        <w:numPr>
          <w:ilvl w:val="0"/>
          <w:numId w:val="12"/>
        </w:numPr>
        <w:jc w:val="both"/>
        <w:rPr>
          <w:b/>
        </w:rPr>
      </w:pPr>
      <w:r w:rsidRPr="009E1860">
        <w:rPr>
          <w:b/>
        </w:rPr>
        <w:t>VII</w:t>
      </w:r>
      <w:r w:rsidR="009E1860" w:rsidRPr="009E1860">
        <w:rPr>
          <w:b/>
        </w:rPr>
        <w:t xml:space="preserve">. </w:t>
      </w:r>
      <w:r w:rsidR="0086361D" w:rsidRPr="009E1860">
        <w:rPr>
          <w:b/>
        </w:rPr>
        <w:t>Partenaires étatiques Clés</w:t>
      </w:r>
    </w:p>
    <w:p w14:paraId="760F35BD" w:rsidR="0086361D" w:rsidRDefault="0086361D" w:rsidP="00126946">
      <w:pPr>
        <w:jc w:val="both"/>
      </w:pPr>
      <w:r>
        <w:t>-</w:t>
      </w:r>
      <w:r>
        <w:tab/>
      </w:r>
      <w:r>
        <w:t>Ministère de la Justice</w:t>
      </w:r>
    </w:p>
    <w:p w14:paraId="226FA42B" w:rsidR="0086361D" w:rsidRDefault="0086361D" w:rsidP="00126946">
      <w:pPr>
        <w:jc w:val="both"/>
      </w:pPr>
      <w:r>
        <w:t>-</w:t>
      </w:r>
      <w:r>
        <w:tab/>
      </w:r>
      <w:r>
        <w:t>Ministère des Droits Humains</w:t>
      </w:r>
    </w:p>
    <w:p w14:paraId="074B7250" w:rsidR="00380976" w:rsidRDefault="0086361D" w:rsidP="00126946">
      <w:pPr>
        <w:jc w:val="both"/>
      </w:pPr>
      <w:r>
        <w:t>-</w:t>
      </w:r>
      <w:r>
        <w:tab/>
      </w:r>
      <w:r>
        <w:t>La C</w:t>
      </w:r>
      <w:r w:rsidR="00380976">
        <w:t>ommission Vérité et Réconciliation (CVR)</w:t>
      </w:r>
    </w:p>
    <w:p w14:paraId="1096FDF7" w:rsidR="00322660" w:rsidRPr="009E1860" w:rsidRDefault="00322660" w:rsidP="009E1860">
      <w:pPr>
        <w:pStyle w:val="ListParagraph"/>
        <w:numPr>
          <w:ilvl w:val="0"/>
          <w:numId w:val="12"/>
        </w:numPr>
        <w:jc w:val="both"/>
        <w:rPr>
          <w:b/>
        </w:rPr>
      </w:pPr>
      <w:r w:rsidRPr="009E1860">
        <w:rPr>
          <w:b/>
        </w:rPr>
        <w:t>Partenaires techniques et financiers</w:t>
      </w:r>
    </w:p>
    <w:p w14:paraId="46A36332" w:rsidR="00A33457" w:rsidRDefault="00A33457" w:rsidP="00126946">
      <w:pPr>
        <w:jc w:val="both"/>
      </w:pPr>
      <w:r w:rsidRPr="00F81C7D">
        <w:t xml:space="preserve">Partenaires déjà </w:t>
      </w:r>
      <w:r w:rsidRPr="00A33457">
        <w:t>présents</w:t>
      </w:r>
      <w:r>
        <w:t> :</w:t>
      </w:r>
    </w:p>
    <w:p w14:paraId="5644D5D8" w:rsidR="00A33457" w:rsidRPr="00A33457" w:rsidRDefault="00A33457" w:rsidP="00126946">
      <w:pPr>
        <w:pStyle w:val="ListParagraph"/>
        <w:numPr>
          <w:ilvl w:val="0"/>
          <w:numId w:val="24"/>
        </w:numPr>
        <w:jc w:val="both"/>
      </w:pPr>
      <w:r>
        <w:t>Bureau du Haut-Commissariat des Nations unies aux Droits de l’Homme</w:t>
      </w:r>
    </w:p>
    <w:p w14:paraId="0D478DFC" w:rsidR="00A33457" w:rsidRDefault="00A33457" w:rsidP="00126946">
      <w:pPr>
        <w:pStyle w:val="ListParagraph"/>
        <w:numPr>
          <w:ilvl w:val="0"/>
          <w:numId w:val="24"/>
        </w:numPr>
        <w:jc w:val="both"/>
      </w:pPr>
      <w:r>
        <w:t>Coopération Française</w:t>
      </w:r>
    </w:p>
    <w:p w14:paraId="6687D087" w:rsidR="00A33457" w:rsidRDefault="00A33457" w:rsidP="00126946">
      <w:pPr>
        <w:pStyle w:val="ListParagraph"/>
        <w:numPr>
          <w:ilvl w:val="0"/>
          <w:numId w:val="24"/>
        </w:numPr>
        <w:jc w:val="both"/>
      </w:pPr>
      <w:r>
        <w:t>USA</w:t>
      </w:r>
    </w:p>
    <w:p w14:paraId="6D1995D0" w:rsidR="00A33457" w:rsidRDefault="00A33457" w:rsidP="00126946">
      <w:pPr>
        <w:pStyle w:val="ListParagraph"/>
        <w:numPr>
          <w:ilvl w:val="0"/>
          <w:numId w:val="24"/>
        </w:numPr>
        <w:jc w:val="both"/>
      </w:pPr>
      <w:r>
        <w:t>Programme des Nations Unies pour le Développement (PNUD)</w:t>
      </w:r>
    </w:p>
    <w:p w14:paraId="09E881E5" w:rsidR="00A33457" w:rsidRPr="009E1860" w:rsidRDefault="00A33457" w:rsidP="00126946">
      <w:pPr>
        <w:jc w:val="both"/>
        <w:rPr>
          <w:b/>
        </w:rPr>
      </w:pPr>
      <w:r w:rsidRPr="009E1860">
        <w:rPr>
          <w:b/>
        </w:rPr>
        <w:t>Partenaires Potentiels :</w:t>
      </w:r>
    </w:p>
    <w:p w14:paraId="1A743E72" w:rsidR="00A33457" w:rsidRDefault="00322660" w:rsidP="00126946">
      <w:pPr>
        <w:pStyle w:val="ListParagraph"/>
        <w:numPr>
          <w:ilvl w:val="0"/>
          <w:numId w:val="24"/>
        </w:numPr>
        <w:jc w:val="both"/>
      </w:pPr>
      <w:r>
        <w:lastRenderedPageBreak/>
        <w:t xml:space="preserve">Bureau du </w:t>
      </w:r>
      <w:r w:rsidR="00380976">
        <w:t>C</w:t>
      </w:r>
      <w:r>
        <w:t xml:space="preserve">onseiller Spécial </w:t>
      </w:r>
      <w:r w:rsidR="00380976">
        <w:t>du SG en Prévention des Conflits</w:t>
      </w:r>
    </w:p>
    <w:p w14:paraId="01522B68" w:rsidR="00D73374" w:rsidRDefault="00A33457" w:rsidP="00126946">
      <w:pPr>
        <w:pStyle w:val="ListParagraph"/>
        <w:numPr>
          <w:ilvl w:val="0"/>
          <w:numId w:val="24"/>
        </w:numPr>
        <w:jc w:val="both"/>
      </w:pPr>
      <w:r>
        <w:t>Bureau de Coordination des affaires Humanitaires (OCHA)</w:t>
      </w:r>
      <w:r w:rsidR="00380976">
        <w:t xml:space="preserve"> </w:t>
      </w:r>
    </w:p>
    <w:p w14:paraId="1DB47F84" w:rsidR="00380976" w:rsidRDefault="00380976" w:rsidP="00126946">
      <w:pPr>
        <w:pStyle w:val="ListParagraph"/>
        <w:numPr>
          <w:ilvl w:val="0"/>
          <w:numId w:val="24"/>
        </w:numPr>
        <w:jc w:val="both"/>
      </w:pPr>
      <w:r>
        <w:t>Union Africaine</w:t>
      </w:r>
    </w:p>
    <w:p w14:paraId="37BABB71" w:rsidR="00D73374" w:rsidRDefault="00380976" w:rsidP="00126946">
      <w:pPr>
        <w:pStyle w:val="ListParagraph"/>
        <w:numPr>
          <w:ilvl w:val="0"/>
          <w:numId w:val="24"/>
        </w:numPr>
        <w:jc w:val="both"/>
      </w:pPr>
      <w:r>
        <w:t>Union Européenne</w:t>
      </w:r>
    </w:p>
    <w:p w14:paraId="31078584" w:rsidR="00380976" w:rsidRDefault="00380976" w:rsidP="00126946">
      <w:pPr>
        <w:pStyle w:val="ListParagraph"/>
        <w:numPr>
          <w:ilvl w:val="0"/>
          <w:numId w:val="24"/>
        </w:numPr>
        <w:jc w:val="both"/>
      </w:pPr>
      <w:r>
        <w:t>Coopération Belge</w:t>
      </w:r>
    </w:p>
    <w:p w14:paraId="7D21C3C9" w:rsidR="0086361D" w:rsidRDefault="00380976" w:rsidP="00126946">
      <w:pPr>
        <w:pStyle w:val="ListParagraph"/>
        <w:numPr>
          <w:ilvl w:val="0"/>
          <w:numId w:val="24"/>
        </w:numPr>
        <w:jc w:val="both"/>
      </w:pPr>
      <w:r>
        <w:t>Coopération Néerlandaise</w:t>
      </w:r>
    </w:p>
    <w:p w14:paraId="345352A6" w:rsidR="009E1860" w:rsidRDefault="009E1860" w:rsidP="009E1860">
      <w:pPr>
        <w:pStyle w:val="ListParagraph"/>
        <w:jc w:val="both"/>
      </w:pPr>
    </w:p>
    <w:p w14:paraId="4F72FB72" w:rsidR="0086361D" w:rsidRPr="009E1860" w:rsidRDefault="00695995" w:rsidP="009E1860">
      <w:pPr>
        <w:pStyle w:val="ListParagraph"/>
        <w:numPr>
          <w:ilvl w:val="0"/>
          <w:numId w:val="12"/>
        </w:numPr>
        <w:jc w:val="both"/>
        <w:rPr>
          <w:b/>
        </w:rPr>
      </w:pPr>
      <w:r w:rsidRPr="009E1860">
        <w:rPr>
          <w:b/>
        </w:rPr>
        <w:t xml:space="preserve"> </w:t>
      </w:r>
      <w:r w:rsidR="0086361D" w:rsidRPr="009E1860">
        <w:rPr>
          <w:b/>
        </w:rPr>
        <w:t>Durée du projet et Financement</w:t>
      </w:r>
      <w:r w:rsidR="00A33457" w:rsidRPr="009E1860">
        <w:rPr>
          <w:b/>
        </w:rPr>
        <w:t xml:space="preserve"> attendus</w:t>
      </w:r>
    </w:p>
    <w:p w14:paraId="3FD97882" w:rsidR="009E1860" w:rsidRDefault="0086361D" w:rsidP="00126946">
      <w:pPr>
        <w:pStyle w:val="ListParagraph"/>
        <w:numPr>
          <w:ilvl w:val="0"/>
          <w:numId w:val="24"/>
        </w:numPr>
        <w:jc w:val="both"/>
      </w:pPr>
      <w:r>
        <w:t xml:space="preserve">Durée prévue : </w:t>
      </w:r>
      <w:r w:rsidR="006252E4">
        <w:t>3</w:t>
      </w:r>
      <w:r>
        <w:t xml:space="preserve"> ans (2016-20</w:t>
      </w:r>
      <w:r w:rsidR="00A04FD5">
        <w:t>18</w:t>
      </w:r>
      <w:r>
        <w:t xml:space="preserve">) </w:t>
      </w:r>
    </w:p>
    <w:p w14:paraId="1BD0F95F" w:rsidR="009E1860" w:rsidRDefault="0086361D" w:rsidP="009E1860">
      <w:pPr>
        <w:pStyle w:val="ListParagraph"/>
        <w:numPr>
          <w:ilvl w:val="0"/>
          <w:numId w:val="24"/>
        </w:numPr>
        <w:jc w:val="both"/>
      </w:pPr>
      <w:r>
        <w:t xml:space="preserve">Le coût total estimé à USD </w:t>
      </w:r>
      <w:r w:rsidR="000A45F9">
        <w:t>2</w:t>
      </w:r>
      <w:r w:rsidR="006252E4">
        <w:t xml:space="preserve"> 000.000</w:t>
      </w:r>
    </w:p>
    <w:p w14:paraId="491F0F08" w:rsidR="0086361D" w:rsidRPr="009E1860" w:rsidRDefault="0086361D" w:rsidP="00126946">
      <w:pPr>
        <w:jc w:val="both"/>
        <w:rPr>
          <w:b/>
          <w:u w:val="single"/>
        </w:rPr>
      </w:pPr>
      <w:r w:rsidRPr="009E1860">
        <w:rPr>
          <w:b/>
          <w:u w:val="single"/>
        </w:rPr>
        <w:t>Contact</w:t>
      </w:r>
      <w:r w:rsidRPr="009E1860">
        <w:rPr>
          <w:b/>
          <w:u w:val="single"/>
        </w:rPr>
        <w:tab/>
      </w:r>
      <w:r w:rsidR="00D73374" w:rsidRPr="009E1860">
        <w:rPr>
          <w:b/>
          <w:u w:val="single"/>
        </w:rPr>
        <w:t>s</w:t>
      </w:r>
    </w:p>
    <w:p w14:paraId="540B513C" w:rsidR="0086361D" w:rsidRDefault="0086361D" w:rsidP="00126946">
      <w:pPr>
        <w:jc w:val="both"/>
      </w:pPr>
      <w:r>
        <w:t>PNUD:</w:t>
      </w:r>
      <w:r w:rsidR="009E1860">
        <w:t xml:space="preserve">  </w:t>
      </w:r>
      <w:r>
        <w:t xml:space="preserve"> </w:t>
      </w:r>
      <w:hyperlink r:id="rId9" w:history="1">
        <w:r w:rsidR="009E1860" w:rsidRPr="00CE4121">
          <w:rPr>
            <w:rStyle w:val="Hyperlink"/>
          </w:rPr>
          <w:t>Henri.mashagiro@undp.org</w:t>
        </w:r>
      </w:hyperlink>
    </w:p>
    <w:p w14:paraId="6B142A62" w:rsidR="009E1860" w:rsidRDefault="009E1860" w:rsidP="00126946">
      <w:pPr>
        <w:jc w:val="both"/>
      </w:pPr>
      <w:r>
        <w:t xml:space="preserve">               </w:t>
      </w:r>
      <w:hyperlink r:id="rId10" w:history="1">
        <w:r w:rsidRPr="00CE4121">
          <w:rPr>
            <w:rStyle w:val="Hyperlink"/>
          </w:rPr>
          <w:t>Patricia.ntahorubuze@undp.org</w:t>
        </w:r>
      </w:hyperlink>
      <w:r>
        <w:t xml:space="preserve"> </w:t>
      </w:r>
    </w:p>
    <w:p w14:paraId="7D2A51AE" w:rsidR="0086361D" w:rsidRDefault="0086361D" w:rsidP="00126946">
      <w:pPr>
        <w:jc w:val="both"/>
      </w:pPr>
      <w:r>
        <w:t xml:space="preserve">            </w:t>
      </w:r>
      <w:r w:rsidR="009E1860">
        <w:t xml:space="preserve">   </w:t>
      </w:r>
      <w:hyperlink r:id="rId11" w:history="1">
        <w:r w:rsidR="009E1860" w:rsidRPr="00CE4121">
          <w:rPr>
            <w:rStyle w:val="Hyperlink"/>
          </w:rPr>
          <w:t>pascal.mukanya@undp.org</w:t>
        </w:r>
      </w:hyperlink>
      <w:r w:rsidR="009E1860">
        <w:t xml:space="preserve"> </w:t>
      </w:r>
    </w:p>
    <w:p w14:paraId="381FD63C" w:rsidR="0086361D" w:rsidRDefault="0086361D" w:rsidP="00126946">
      <w:pPr>
        <w:jc w:val="both"/>
      </w:pPr>
    </w:p>
    <w:p w14:paraId="57A4C396" w:rsidR="0086361D" w:rsidRDefault="009E1860" w:rsidP="00126946">
      <w:pPr>
        <w:jc w:val="both"/>
      </w:pPr>
      <w:r>
        <w:t xml:space="preserve">  </w:t>
      </w:r>
    </w:p>
    <w:p w14:paraId="6BE8FA4B" w:rsidR="000A4577" w:rsidRDefault="000A4577" w:rsidP="00126946">
      <w:pPr>
        <w:jc w:val="both"/>
      </w:pPr>
    </w:p>
    <w:sectPr w:rsidR="000A4577" w:rsidSect="00E0678B">
      <w:footerReference w:type="default" r:id="rId12"/>
      <w:pgSz w:w="11906" w:h="16838"/>
      <w:pgMar w:top="1008" w:right="1138" w:bottom="1008" w:left="1138" w:header="706" w:footer="706"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w14:paraId="617438C3" w:rsidR="00CE68A3" w:rsidRDefault="00CE68A3" w:rsidP="0086361D">
      <w:pPr>
        <w:spacing w:after="0" w:line="240" w:lineRule="auto"/>
      </w:pPr>
      <w:r>
        <w:separator/>
      </w:r>
    </w:p>
  </w:endnote>
  <w:endnote w:type="continuationSeparator" w:id="0">
    <w:p w14:paraId="66F72810" w:rsidR="00CE68A3" w:rsidRDefault="00CE68A3" w:rsidP="00863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1739473882"/>
      <w:docPartObj>
        <w:docPartGallery w:val="Page Numbers (Bottom of Page)"/>
        <w:docPartUnique/>
      </w:docPartObj>
    </w:sdtPr>
    <w:sdtEndPr>
      <w:rPr>
        <w:noProof/>
      </w:rPr>
    </w:sdtEndPr>
    <w:sdtContent>
      <w:p w14:paraId="4A36CD40" w:rsidR="00A33457" w:rsidRDefault="00412526">
        <w:pPr>
          <w:pStyle w:val="Footer"/>
          <w:jc w:val="center"/>
        </w:pPr>
        <w:r>
          <w:fldChar w:fldCharType="begin"/>
        </w:r>
        <w:r w:rsidR="00A33457">
          <w:instrText xml:space="preserve"> PAGE   \* MERGEFORMAT </w:instrText>
        </w:r>
        <w:r>
          <w:fldChar w:fldCharType="separate"/>
        </w:r>
        <w:r w:rsidR="004D6700">
          <w:rPr>
            <w:noProof/>
          </w:rPr>
          <w:t>6</w:t>
        </w:r>
        <w:r>
          <w:rPr>
            <w:noProof/>
          </w:rPr>
          <w:fldChar w:fldCharType="end"/>
        </w:r>
      </w:p>
    </w:sdtContent>
  </w:sdt>
  <w:p w14:paraId="0E5917AB" w:rsidR="00A33457" w:rsidRDefault="00A3345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w14:paraId="292EBA56" w:rsidR="00CE68A3" w:rsidRDefault="00CE68A3" w:rsidP="0086361D">
      <w:pPr>
        <w:spacing w:after="0" w:line="240" w:lineRule="auto"/>
      </w:pPr>
      <w:r>
        <w:separator/>
      </w:r>
    </w:p>
  </w:footnote>
  <w:footnote w:type="continuationSeparator" w:id="0">
    <w:p w14:paraId="5240EEC5" w:rsidR="00CE68A3" w:rsidRDefault="00CE68A3" w:rsidP="0086361D">
      <w:pPr>
        <w:spacing w:after="0" w:line="240" w:lineRule="auto"/>
      </w:pPr>
      <w:r>
        <w:continuationSeparator/>
      </w:r>
    </w:p>
  </w:footnote>
  <w:footnote w:id="1">
    <w:p w14:paraId="077F9BB2" w:rsidR="00A33457" w:rsidRDefault="00A33457">
      <w:pPr>
        <w:pStyle w:val="FootnoteText"/>
      </w:pPr>
      <w:r>
        <w:rPr>
          <w:rStyle w:val="FootnoteReference"/>
        </w:rPr>
        <w:footnoteRef/>
      </w:r>
      <w:r>
        <w:t xml:space="preserve"> RAPPORT DU COMITE TECHNIQUE CHARGE DE LA PREPARATION DE LA MISE EN PLACE DES MECANISMES DE JUSTICE TRANSITIONNELLE</w:t>
      </w:r>
    </w:p>
  </w:footnote>
  <w:footnote w:id="2">
    <w:p w14:paraId="71852BF6" w:rsidR="00A33457" w:rsidRDefault="00A33457">
      <w:pPr>
        <w:pStyle w:val="FootnoteText"/>
      </w:pPr>
      <w:r w:rsidRPr="00F65727">
        <w:t>La Commission (CVR) est composée de 11 Commissaires dont le bureau comprenant le Président, le Vice-Président et la Secrétaire a  été élu par l’Assemblée nationale le 03 décembre 2014. Le personnel d’appui sera incessamment recruté. La Commission a un mandat de quatre ans, à compter de la prestation de serment des Commissaires ; ce mandat peut être prorogé d’un an à la demande de la Commission</w:t>
      </w:r>
      <w:r>
        <w:rPr>
          <w:rStyle w:val="FootnoteReference"/>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7E1"/>
    <w:multiLevelType w:val="hybridMultilevel"/>
    <w:tmpl w:val="DAC8C92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1D5B00"/>
    <w:multiLevelType w:val="hybridMultilevel"/>
    <w:tmpl w:val="8B7EE21A"/>
    <w:lvl w:ilvl="0" w:tplc="CEB6D07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01A6D"/>
    <w:multiLevelType w:val="hybridMultilevel"/>
    <w:tmpl w:val="3334E214"/>
    <w:lvl w:ilvl="0" w:tplc="482066C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E57FB7"/>
    <w:multiLevelType w:val="hybridMultilevel"/>
    <w:tmpl w:val="E7148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B52615"/>
    <w:multiLevelType w:val="hybridMultilevel"/>
    <w:tmpl w:val="6FE298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231D17"/>
    <w:multiLevelType w:val="hybridMultilevel"/>
    <w:tmpl w:val="70FCE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99342C"/>
    <w:multiLevelType w:val="hybridMultilevel"/>
    <w:tmpl w:val="955432CC"/>
    <w:lvl w:ilvl="0" w:tplc="04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310AFE"/>
    <w:multiLevelType w:val="hybridMultilevel"/>
    <w:tmpl w:val="B71A1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CD5047"/>
    <w:multiLevelType w:val="hybridMultilevel"/>
    <w:tmpl w:val="E19A5F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1093363"/>
    <w:multiLevelType w:val="hybridMultilevel"/>
    <w:tmpl w:val="47A27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C526CF"/>
    <w:multiLevelType w:val="hybridMultilevel"/>
    <w:tmpl w:val="75967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CE06DCF"/>
    <w:multiLevelType w:val="hybridMultilevel"/>
    <w:tmpl w:val="578AAC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DF63DD"/>
    <w:multiLevelType w:val="hybridMultilevel"/>
    <w:tmpl w:val="AC5A8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8ED4846"/>
    <w:multiLevelType w:val="hybridMultilevel"/>
    <w:tmpl w:val="93ACAD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2022856"/>
    <w:multiLevelType w:val="hybridMultilevel"/>
    <w:tmpl w:val="593820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0D6B0C"/>
    <w:multiLevelType w:val="hybridMultilevel"/>
    <w:tmpl w:val="E98414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0E0B16"/>
    <w:multiLevelType w:val="hybridMultilevel"/>
    <w:tmpl w:val="15780C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B05679"/>
    <w:multiLevelType w:val="multilevel"/>
    <w:tmpl w:val="BFB2C2B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EE345A4"/>
    <w:multiLevelType w:val="hybridMultilevel"/>
    <w:tmpl w:val="28F83FB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4135049"/>
    <w:multiLevelType w:val="hybridMultilevel"/>
    <w:tmpl w:val="6CD48D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72063AF"/>
    <w:multiLevelType w:val="hybridMultilevel"/>
    <w:tmpl w:val="16FC0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276EED"/>
    <w:multiLevelType w:val="hybridMultilevel"/>
    <w:tmpl w:val="C284B7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CA6537B"/>
    <w:multiLevelType w:val="hybridMultilevel"/>
    <w:tmpl w:val="AF18D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6571EDD"/>
    <w:multiLevelType w:val="hybridMultilevel"/>
    <w:tmpl w:val="C900B3BA"/>
    <w:lvl w:ilvl="0" w:tplc="9F38CFD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9B317E"/>
    <w:multiLevelType w:val="hybridMultilevel"/>
    <w:tmpl w:val="49083B50"/>
    <w:lvl w:ilvl="0" w:tplc="572EFA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70D57C9"/>
    <w:multiLevelType w:val="hybridMultilevel"/>
    <w:tmpl w:val="EBB66DAC"/>
    <w:lvl w:ilvl="0" w:tplc="CEB6D074">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77498C"/>
    <w:multiLevelType w:val="hybridMultilevel"/>
    <w:tmpl w:val="65ACF43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4084E8E"/>
    <w:multiLevelType w:val="hybridMultilevel"/>
    <w:tmpl w:val="01E401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6133068"/>
    <w:multiLevelType w:val="hybridMultilevel"/>
    <w:tmpl w:val="9CEED17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0934AA"/>
    <w:multiLevelType w:val="hybridMultilevel"/>
    <w:tmpl w:val="E0C47C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0814A14"/>
    <w:multiLevelType w:val="hybridMultilevel"/>
    <w:tmpl w:val="58CC1140"/>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nsid w:val="76573E79"/>
    <w:multiLevelType w:val="hybridMultilevel"/>
    <w:tmpl w:val="C59212E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97A14AB"/>
    <w:multiLevelType w:val="hybridMultilevel"/>
    <w:tmpl w:val="BBECCC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D4462F8"/>
    <w:multiLevelType w:val="hybridMultilevel"/>
    <w:tmpl w:val="B18E48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5"/>
  </w:num>
  <w:num w:numId="3">
    <w:abstractNumId w:val="12"/>
  </w:num>
  <w:num w:numId="4">
    <w:abstractNumId w:val="29"/>
  </w:num>
  <w:num w:numId="5">
    <w:abstractNumId w:val="32"/>
  </w:num>
  <w:num w:numId="6">
    <w:abstractNumId w:val="10"/>
  </w:num>
  <w:num w:numId="7">
    <w:abstractNumId w:val="15"/>
  </w:num>
  <w:num w:numId="8">
    <w:abstractNumId w:val="21"/>
  </w:num>
  <w:num w:numId="9">
    <w:abstractNumId w:val="13"/>
  </w:num>
  <w:num w:numId="10">
    <w:abstractNumId w:val="24"/>
  </w:num>
  <w:num w:numId="11">
    <w:abstractNumId w:val="33"/>
  </w:num>
  <w:num w:numId="12">
    <w:abstractNumId w:val="18"/>
  </w:num>
  <w:num w:numId="13">
    <w:abstractNumId w:val="22"/>
  </w:num>
  <w:num w:numId="14">
    <w:abstractNumId w:val="8"/>
  </w:num>
  <w:num w:numId="15">
    <w:abstractNumId w:val="19"/>
  </w:num>
  <w:num w:numId="16">
    <w:abstractNumId w:val="14"/>
  </w:num>
  <w:num w:numId="17">
    <w:abstractNumId w:val="17"/>
  </w:num>
  <w:num w:numId="18">
    <w:abstractNumId w:val="3"/>
  </w:num>
  <w:num w:numId="19">
    <w:abstractNumId w:val="5"/>
  </w:num>
  <w:num w:numId="20">
    <w:abstractNumId w:val="11"/>
  </w:num>
  <w:num w:numId="21">
    <w:abstractNumId w:val="2"/>
  </w:num>
  <w:num w:numId="22">
    <w:abstractNumId w:val="28"/>
  </w:num>
  <w:num w:numId="23">
    <w:abstractNumId w:val="6"/>
  </w:num>
  <w:num w:numId="24">
    <w:abstractNumId w:val="23"/>
  </w:num>
  <w:num w:numId="25">
    <w:abstractNumId w:val="16"/>
  </w:num>
  <w:num w:numId="26">
    <w:abstractNumId w:val="27"/>
  </w:num>
  <w:num w:numId="27">
    <w:abstractNumId w:val="20"/>
  </w:num>
  <w:num w:numId="28">
    <w:abstractNumId w:val="9"/>
  </w:num>
  <w:num w:numId="29">
    <w:abstractNumId w:val="7"/>
  </w:num>
  <w:num w:numId="30">
    <w:abstractNumId w:val="31"/>
  </w:num>
  <w:num w:numId="31">
    <w:abstractNumId w:val="0"/>
  </w:num>
  <w:num w:numId="32">
    <w:abstractNumId w:val="26"/>
  </w:num>
  <w:num w:numId="33">
    <w:abstractNumId w:val="4"/>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6361D"/>
    <w:rsid w:val="00005DAB"/>
    <w:rsid w:val="000417C7"/>
    <w:rsid w:val="00080861"/>
    <w:rsid w:val="00090AC1"/>
    <w:rsid w:val="000A4577"/>
    <w:rsid w:val="000A45F9"/>
    <w:rsid w:val="000D6FB8"/>
    <w:rsid w:val="000E3AEE"/>
    <w:rsid w:val="000F5142"/>
    <w:rsid w:val="00126946"/>
    <w:rsid w:val="001679CF"/>
    <w:rsid w:val="001F2103"/>
    <w:rsid w:val="00231D36"/>
    <w:rsid w:val="00240825"/>
    <w:rsid w:val="00243FA0"/>
    <w:rsid w:val="002502EF"/>
    <w:rsid w:val="00293FD5"/>
    <w:rsid w:val="00322660"/>
    <w:rsid w:val="00336B0F"/>
    <w:rsid w:val="003779B3"/>
    <w:rsid w:val="00380976"/>
    <w:rsid w:val="003B19F8"/>
    <w:rsid w:val="00412526"/>
    <w:rsid w:val="00432B6B"/>
    <w:rsid w:val="00471F5B"/>
    <w:rsid w:val="004B0C4B"/>
    <w:rsid w:val="004D6700"/>
    <w:rsid w:val="005352E1"/>
    <w:rsid w:val="00565B14"/>
    <w:rsid w:val="00586C21"/>
    <w:rsid w:val="005A7D5A"/>
    <w:rsid w:val="005C7910"/>
    <w:rsid w:val="006144DC"/>
    <w:rsid w:val="006229FF"/>
    <w:rsid w:val="006252E4"/>
    <w:rsid w:val="00657D53"/>
    <w:rsid w:val="00695995"/>
    <w:rsid w:val="00715271"/>
    <w:rsid w:val="00716D97"/>
    <w:rsid w:val="00726389"/>
    <w:rsid w:val="0077452B"/>
    <w:rsid w:val="007E1789"/>
    <w:rsid w:val="007E1F9E"/>
    <w:rsid w:val="008054EF"/>
    <w:rsid w:val="008129E3"/>
    <w:rsid w:val="0086361D"/>
    <w:rsid w:val="0087592E"/>
    <w:rsid w:val="008A1BEF"/>
    <w:rsid w:val="008A32DD"/>
    <w:rsid w:val="008D5F36"/>
    <w:rsid w:val="008E7CBF"/>
    <w:rsid w:val="008F0D42"/>
    <w:rsid w:val="008F7604"/>
    <w:rsid w:val="00917C81"/>
    <w:rsid w:val="00962360"/>
    <w:rsid w:val="00972F8C"/>
    <w:rsid w:val="009E1860"/>
    <w:rsid w:val="009E2A34"/>
    <w:rsid w:val="00A04C27"/>
    <w:rsid w:val="00A04FD5"/>
    <w:rsid w:val="00A054D9"/>
    <w:rsid w:val="00A33457"/>
    <w:rsid w:val="00A565BD"/>
    <w:rsid w:val="00A90288"/>
    <w:rsid w:val="00A9292F"/>
    <w:rsid w:val="00AB6DD4"/>
    <w:rsid w:val="00B5122D"/>
    <w:rsid w:val="00BF4571"/>
    <w:rsid w:val="00C15BF5"/>
    <w:rsid w:val="00C73C8A"/>
    <w:rsid w:val="00CC5FAD"/>
    <w:rsid w:val="00CD0C6F"/>
    <w:rsid w:val="00CD5666"/>
    <w:rsid w:val="00CE68A3"/>
    <w:rsid w:val="00D373F4"/>
    <w:rsid w:val="00D46A85"/>
    <w:rsid w:val="00D72E0A"/>
    <w:rsid w:val="00D73374"/>
    <w:rsid w:val="00D95708"/>
    <w:rsid w:val="00DB70C7"/>
    <w:rsid w:val="00DD432E"/>
    <w:rsid w:val="00DF71B5"/>
    <w:rsid w:val="00E0678B"/>
    <w:rsid w:val="00E1051B"/>
    <w:rsid w:val="00E108B8"/>
    <w:rsid w:val="00E31DDC"/>
    <w:rsid w:val="00EF0FFA"/>
    <w:rsid w:val="00F12B72"/>
    <w:rsid w:val="00F1532A"/>
    <w:rsid w:val="00F22A4F"/>
    <w:rsid w:val="00F36869"/>
    <w:rsid w:val="00F6011B"/>
    <w:rsid w:val="00F62580"/>
    <w:rsid w:val="00F65727"/>
    <w:rsid w:val="00F81C7D"/>
    <w:rsid w:val="00F83049"/>
    <w:rsid w:val="00F8476F"/>
    <w:rsid w:val="00F97351"/>
    <w:rsid w:val="00FB2E7A"/>
    <w:rsid w:val="00FF3E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FA0A5A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6361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6361D"/>
  </w:style>
  <w:style w:type="paragraph" w:styleId="FootnoteText">
    <w:name w:val="footnote text"/>
    <w:basedOn w:val="Normal"/>
    <w:link w:val="FootnoteTextChar"/>
    <w:uiPriority w:val="99"/>
    <w:semiHidden/>
    <w:unhideWhenUsed/>
    <w:rsid w:val="008636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361D"/>
    <w:rPr>
      <w:sz w:val="20"/>
      <w:szCs w:val="20"/>
    </w:rPr>
  </w:style>
  <w:style w:type="character" w:styleId="FootnoteReference">
    <w:name w:val="footnote reference"/>
    <w:basedOn w:val="DefaultParagraphFont"/>
    <w:uiPriority w:val="99"/>
    <w:semiHidden/>
    <w:unhideWhenUsed/>
    <w:rsid w:val="0086361D"/>
    <w:rPr>
      <w:vertAlign w:val="superscript"/>
    </w:rPr>
  </w:style>
  <w:style w:type="character" w:styleId="CommentReference">
    <w:name w:val="annotation reference"/>
    <w:basedOn w:val="DefaultParagraphFont"/>
    <w:uiPriority w:val="99"/>
    <w:semiHidden/>
    <w:unhideWhenUsed/>
    <w:rsid w:val="00F1532A"/>
    <w:rPr>
      <w:sz w:val="16"/>
      <w:szCs w:val="16"/>
    </w:rPr>
  </w:style>
  <w:style w:type="paragraph" w:styleId="CommentText">
    <w:name w:val="annotation text"/>
    <w:basedOn w:val="Normal"/>
    <w:link w:val="CommentTextChar"/>
    <w:uiPriority w:val="99"/>
    <w:semiHidden/>
    <w:unhideWhenUsed/>
    <w:rsid w:val="00F1532A"/>
    <w:pPr>
      <w:spacing w:line="240" w:lineRule="auto"/>
    </w:pPr>
    <w:rPr>
      <w:sz w:val="20"/>
      <w:szCs w:val="20"/>
    </w:rPr>
  </w:style>
  <w:style w:type="character" w:customStyle="1" w:styleId="CommentTextChar">
    <w:name w:val="Comment Text Char"/>
    <w:basedOn w:val="DefaultParagraphFont"/>
    <w:link w:val="CommentText"/>
    <w:uiPriority w:val="99"/>
    <w:semiHidden/>
    <w:rsid w:val="00F1532A"/>
    <w:rPr>
      <w:sz w:val="20"/>
      <w:szCs w:val="20"/>
    </w:rPr>
  </w:style>
  <w:style w:type="paragraph" w:styleId="CommentSubject">
    <w:name w:val="annotation subject"/>
    <w:basedOn w:val="CommentText"/>
    <w:next w:val="CommentText"/>
    <w:link w:val="CommentSubjectChar"/>
    <w:uiPriority w:val="99"/>
    <w:semiHidden/>
    <w:unhideWhenUsed/>
    <w:rsid w:val="00F1532A"/>
    <w:rPr>
      <w:b/>
      <w:bCs/>
    </w:rPr>
  </w:style>
  <w:style w:type="character" w:customStyle="1" w:styleId="CommentSubjectChar">
    <w:name w:val="Comment Subject Char"/>
    <w:basedOn w:val="CommentTextChar"/>
    <w:link w:val="CommentSubject"/>
    <w:uiPriority w:val="99"/>
    <w:semiHidden/>
    <w:rsid w:val="00F1532A"/>
    <w:rPr>
      <w:b/>
      <w:bCs/>
      <w:sz w:val="20"/>
      <w:szCs w:val="20"/>
    </w:rPr>
  </w:style>
  <w:style w:type="paragraph" w:styleId="BalloonText">
    <w:name w:val="Balloon Text"/>
    <w:basedOn w:val="Normal"/>
    <w:link w:val="BalloonTextChar"/>
    <w:uiPriority w:val="99"/>
    <w:semiHidden/>
    <w:unhideWhenUsed/>
    <w:rsid w:val="00F15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32A"/>
    <w:rPr>
      <w:rFonts w:ascii="Segoe UI" w:hAnsi="Segoe UI" w:cs="Segoe UI"/>
      <w:sz w:val="18"/>
      <w:szCs w:val="18"/>
    </w:rPr>
  </w:style>
  <w:style w:type="paragraph" w:styleId="ListParagraph">
    <w:name w:val="List Paragraph"/>
    <w:basedOn w:val="Normal"/>
    <w:uiPriority w:val="34"/>
    <w:qFormat/>
    <w:rsid w:val="00A04C27"/>
    <w:pPr>
      <w:ind w:left="720"/>
      <w:contextualSpacing/>
    </w:pPr>
  </w:style>
  <w:style w:type="character" w:styleId="Hyperlink">
    <w:name w:val="Hyperlink"/>
    <w:basedOn w:val="DefaultParagraphFont"/>
    <w:uiPriority w:val="99"/>
    <w:unhideWhenUsed/>
    <w:rsid w:val="009E186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cal.mukanya@undp.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Patricia.ntahorubuze@undp.org" TargetMode="Externa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mailto:Henri.mashagiro@undp.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BDI</UndpOUCode>
    <UNDPFocusAreasTaxHTField0 xmlns="1ed4137b-41b2-488b-8250-6d369ec27664">
      <Terms xmlns="http://schemas.microsoft.com/office/infopath/2007/PartnerControl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BDI</TermName>
          <TermId xmlns="http://schemas.microsoft.com/office/infopath/2007/PartnerControls">f9feb202-df34-4b8a-8dc4-5a622eda4141</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00099828</Outcome1>
    <UNDPCountryTaxHTField0 xmlns="1ed4137b-41b2-488b-8250-6d369ec27664">
      <Terms xmlns="http://schemas.microsoft.com/office/infopath/2007/PartnerControl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ATLASPDC-4-46911</_dlc_DocId>
    <TaxCatchAll xmlns="1ed4137b-41b2-488b-8250-6d369ec27664">
      <Value>1183</Value>
      <Value>233</Value>
      <Value>1107</Value>
      <Value>763</Value>
    </TaxCatchAll>
    <_Publisher xmlns="http://schemas.microsoft.com/sharepoint/v3/fields" xsi:nil="true"/>
    <UndpDocStatus xmlns="1ed4137b-41b2-488b-8250-6d369ec27664">Draft</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2016-04-01T09:00:00+00:00</UNDPPublishedDate>
    <UndpClassificationLevel xmlns="1ed4137b-41b2-488b-8250-6d369ec27664">Public</UndpClassificationLevel>
    <UndpIsTemplate xmlns="1ed4137b-41b2-488b-8250-6d369ec27664">No</UndpIsTemplate>
    <PDC_x0020_Document_x0020_Category xmlns="f1161f5b-24a3-4c2d-bc81-44cb9325e8ee">Proposal</PDC_x0020_Document_x0020_Category>
    <UndpDocTypeMMTaxHTField0 xmlns="1ed4137b-41b2-488b-8250-6d369ec27664">
      <Terms xmlns="http://schemas.microsoft.com/office/infopath/2007/PartnerControls"/>
    </UndpDocTypeMMTaxHTField0>
    <UndpProjectNo xmlns="1ed4137b-41b2-488b-8250-6d369ec27664">00095771</UndpProjectNo>
    <_dlc_DocIdUrl xmlns="f1161f5b-24a3-4c2d-bc81-44cb9325e8ee">
      <Url>https://info.undp.org/docs/pdc/_layouts/DocIdRedir.aspx?ID=ATLASPDC-4-46911</Url>
      <Description>ATLASPDC-4-46911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5E8418C3-7DC8-40B5-B9BF-2D3346358491}"/>
</file>

<file path=customXml/itemProps2.xml><?xml version="1.0" encoding="utf-8"?>
<ds:datastoreItem xmlns:ds="http://schemas.openxmlformats.org/officeDocument/2006/customXml" ds:itemID="{4209E5FB-53A0-4E15-B759-55FED5375F9D}"/>
</file>

<file path=customXml/itemProps3.xml><?xml version="1.0" encoding="utf-8"?>
<ds:datastoreItem xmlns:ds="http://schemas.openxmlformats.org/officeDocument/2006/customXml" ds:itemID="{8F10CB13-2DA2-4AEA-B78C-7ED694CED8F3}"/>
</file>

<file path=customXml/itemProps4.xml><?xml version="1.0" encoding="utf-8"?>
<ds:datastoreItem xmlns:ds="http://schemas.openxmlformats.org/officeDocument/2006/customXml" ds:itemID="{296B769E-E1F4-4F6E-B7AD-24F1CFCFDF85}"/>
</file>

<file path=customXml/itemProps5.xml><?xml version="1.0" encoding="utf-8"?>
<ds:datastoreItem xmlns:ds="http://schemas.openxmlformats.org/officeDocument/2006/customXml" ds:itemID="{806C6138-CAD2-45BD-8EE3-913B7E958DA0}"/>
</file>

<file path=customXml/itemProps6.xml><?xml version="1.0" encoding="utf-8"?>
<ds:datastoreItem xmlns:ds="http://schemas.openxmlformats.org/officeDocument/2006/customXml" ds:itemID="{E9A8CB4B-2C57-46B3-BB9B-8F973B9720AC}"/>
</file>

<file path=docProps/app.xml><?xml version="1.0" encoding="utf-8"?>
<Properties xmlns="http://schemas.openxmlformats.org/officeDocument/2006/extended-properties" xmlns:vt="http://schemas.openxmlformats.org/officeDocument/2006/docPropsVTypes">
  <Template>Normal</Template>
  <TotalTime>0</TotalTime>
  <Pages>6</Pages>
  <Words>2622</Words>
  <Characters>14422</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Appui à la Commission Verité Réconciliation</dc:title>
  <dc:subject/>
  <dc:creator>PNUD</dc:creator>
  <cp:lastModifiedBy>Preferred Customer</cp:lastModifiedBy>
  <cp:revision>2</cp:revision>
  <dcterms:created xsi:type="dcterms:W3CDTF">2016-04-01T09:05:00Z</dcterms:created>
  <dcterms:modified xsi:type="dcterms:W3CDTF">2016-04-01T09:05:00Z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las_x0020_Document_x0020_Type">
    <vt:lpwstr>235;#Other|31c9cb5b-e3a5-4ce8-95bd-eda20410466c</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ContentTypeId">
    <vt:lpwstr>0x010100F075C04BA242A84ABD3293E3AD35CDA400AB50428DC784B44FAACCAA5FAE40C0590045B5E632B552204ABF0E616DD66BDA0F</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1183;#BDI|f9feb202-df34-4b8a-8dc4-5a622eda4141</vt:lpwstr>
  </property>
  <property fmtid="{D5CDD505-2E9C-101B-9397-08002B2CF9AE}" pid="10" name="Atlas Document Status">
    <vt:lpwstr>763;#Draft|121d40a5-e62e-4d42-82e4-d6d12003de0a</vt:lpwstr>
  </property>
  <property fmtid="{D5CDD505-2E9C-101B-9397-08002B2CF9AE}" pid="11" name="_dlc_DocIdItemGuid">
    <vt:lpwstr>4545fce2-5795-41fc-9c92-311daf05e4bb</vt:lpwstr>
  </property>
  <property fmtid="{D5CDD505-2E9C-101B-9397-08002B2CF9AE}" pid="12" name="Atlas Document Type">
    <vt:lpwstr>1107;#Other|10be685e-4bef-4aec-b905-4df3748c0781</vt:lpwstr>
  </property>
  <property fmtid="{D5CDD505-2E9C-101B-9397-08002B2CF9AE}" pid="13" name="eRegFilingCodeMM">
    <vt:lpwstr/>
  </property>
  <property fmtid="{D5CDD505-2E9C-101B-9397-08002B2CF9AE}" pid="14" name="UndpUnitMM">
    <vt:lpwstr/>
  </property>
  <property fmtid="{D5CDD505-2E9C-101B-9397-08002B2CF9AE}" pid="15" name="Unit">
    <vt:lpwstr/>
  </property>
  <property fmtid="{D5CDD505-2E9C-101B-9397-08002B2CF9AE}" pid="16" name="UNDPFocusAreas">
    <vt:lpwstr/>
  </property>
  <property fmtid="{D5CDD505-2E9C-101B-9397-08002B2CF9AE}" pid="17" name="DocumentSetDescription">
    <vt:lpwstr/>
  </property>
  <property fmtid="{D5CDD505-2E9C-101B-9397-08002B2CF9AE}" pid="18" name="URL">
    <vt:lpwstr/>
  </property>
</Properties>
</file>